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D8BA3" w14:textId="77777777" w:rsidR="006A2B0E" w:rsidRPr="002620D5" w:rsidRDefault="006A2B0E" w:rsidP="00A73261">
      <w:pPr>
        <w:pStyle w:val="Vnbnnidung0"/>
        <w:tabs>
          <w:tab w:val="left" w:pos="432"/>
          <w:tab w:val="left" w:pos="5637"/>
        </w:tabs>
        <w:spacing w:after="120"/>
        <w:jc w:val="both"/>
        <w:rPr>
          <w:rFonts w:ascii="Arial" w:hAnsi="Arial" w:cs="Arial"/>
          <w:b/>
          <w:bCs/>
          <w:color w:val="010000"/>
          <w:sz w:val="20"/>
        </w:rPr>
      </w:pPr>
      <w:r w:rsidRPr="002620D5">
        <w:rPr>
          <w:rFonts w:ascii="Arial" w:hAnsi="Arial" w:cs="Arial"/>
          <w:b/>
          <w:color w:val="010000"/>
          <w:sz w:val="20"/>
        </w:rPr>
        <w:t>GDA: Board Resolution</w:t>
      </w:r>
    </w:p>
    <w:p w14:paraId="6D21343E" w14:textId="3C342F74" w:rsidR="006A2B0E" w:rsidRPr="002620D5" w:rsidRDefault="006A2B0E" w:rsidP="00A73261">
      <w:pPr>
        <w:pStyle w:val="Vnbnnidung0"/>
        <w:tabs>
          <w:tab w:val="left" w:pos="432"/>
          <w:tab w:val="left" w:pos="5637"/>
        </w:tabs>
        <w:spacing w:after="120"/>
        <w:jc w:val="both"/>
        <w:rPr>
          <w:rFonts w:ascii="Arial" w:hAnsi="Arial" w:cs="Arial"/>
          <w:bCs/>
          <w:color w:val="010000"/>
          <w:sz w:val="20"/>
        </w:rPr>
      </w:pPr>
      <w:r w:rsidRPr="002620D5">
        <w:rPr>
          <w:rFonts w:ascii="Arial" w:hAnsi="Arial" w:cs="Arial"/>
          <w:color w:val="010000"/>
          <w:sz w:val="20"/>
        </w:rPr>
        <w:t>On April 26, 2024, Ton Dong A Corporation announced Resolution No. 06/2024/NQ-HDQT-TDA as follows:</w:t>
      </w:r>
    </w:p>
    <w:p w14:paraId="7106DD92" w14:textId="347E5D41" w:rsidR="00CD5C1E" w:rsidRPr="002620D5" w:rsidRDefault="00C47AA7" w:rsidP="00A73261">
      <w:pPr>
        <w:pStyle w:val="Vnbnnidung0"/>
        <w:tabs>
          <w:tab w:val="left" w:pos="432"/>
        </w:tabs>
        <w:spacing w:after="120"/>
        <w:jc w:val="both"/>
        <w:rPr>
          <w:rFonts w:ascii="Arial" w:hAnsi="Arial" w:cs="Arial"/>
          <w:color w:val="010000"/>
          <w:sz w:val="20"/>
        </w:rPr>
      </w:pPr>
      <w:r w:rsidRPr="002620D5">
        <w:rPr>
          <w:rFonts w:ascii="Arial" w:hAnsi="Arial" w:cs="Arial"/>
          <w:color w:val="010000"/>
          <w:sz w:val="20"/>
        </w:rPr>
        <w:t xml:space="preserve">Article 1: Approve the </w:t>
      </w:r>
      <w:r w:rsidR="00A73261">
        <w:rPr>
          <w:rFonts w:ascii="Arial" w:hAnsi="Arial" w:cs="Arial"/>
          <w:color w:val="010000"/>
          <w:sz w:val="20"/>
        </w:rPr>
        <w:t>convening date</w:t>
      </w:r>
      <w:r w:rsidRPr="002620D5">
        <w:rPr>
          <w:rFonts w:ascii="Arial" w:hAnsi="Arial" w:cs="Arial"/>
          <w:color w:val="010000"/>
          <w:sz w:val="20"/>
        </w:rPr>
        <w:t xml:space="preserve"> of the Annual General Meeting of Shareholders 2024 of Ton Dong A Corporation, specifically as follows:</w:t>
      </w:r>
    </w:p>
    <w:p w14:paraId="2F6F1796" w14:textId="6DD8C92B" w:rsidR="00CD5C1E" w:rsidRPr="002620D5" w:rsidRDefault="00C47AA7" w:rsidP="00A73261">
      <w:pPr>
        <w:pStyle w:val="Vnbnnidung0"/>
        <w:numPr>
          <w:ilvl w:val="0"/>
          <w:numId w:val="1"/>
        </w:numPr>
        <w:tabs>
          <w:tab w:val="left" w:pos="432"/>
          <w:tab w:val="left" w:pos="888"/>
        </w:tabs>
        <w:spacing w:after="120"/>
        <w:jc w:val="both"/>
        <w:rPr>
          <w:rFonts w:ascii="Arial" w:hAnsi="Arial" w:cs="Arial"/>
          <w:color w:val="010000"/>
          <w:sz w:val="20"/>
        </w:rPr>
      </w:pPr>
      <w:r w:rsidRPr="002620D5">
        <w:rPr>
          <w:rFonts w:ascii="Arial" w:hAnsi="Arial" w:cs="Arial"/>
          <w:color w:val="010000"/>
          <w:sz w:val="20"/>
        </w:rPr>
        <w:t xml:space="preserve">Meeting </w:t>
      </w:r>
      <w:r w:rsidR="00A73261">
        <w:rPr>
          <w:rFonts w:ascii="Arial" w:hAnsi="Arial" w:cs="Arial"/>
          <w:color w:val="010000"/>
          <w:sz w:val="20"/>
        </w:rPr>
        <w:t>date</w:t>
      </w:r>
      <w:r w:rsidRPr="002620D5">
        <w:rPr>
          <w:rFonts w:ascii="Arial" w:hAnsi="Arial" w:cs="Arial"/>
          <w:color w:val="010000"/>
          <w:sz w:val="20"/>
        </w:rPr>
        <w:t>: Before June 30, 2024.</w:t>
      </w:r>
    </w:p>
    <w:p w14:paraId="53E89E8C" w14:textId="7BEE282F" w:rsidR="00CD5C1E" w:rsidRPr="002620D5" w:rsidRDefault="00C47AA7" w:rsidP="00A73261">
      <w:pPr>
        <w:pStyle w:val="Vnbnnidung0"/>
        <w:numPr>
          <w:ilvl w:val="0"/>
          <w:numId w:val="1"/>
        </w:numPr>
        <w:tabs>
          <w:tab w:val="left" w:pos="432"/>
          <w:tab w:val="left" w:pos="893"/>
        </w:tabs>
        <w:spacing w:after="120"/>
        <w:jc w:val="both"/>
        <w:rPr>
          <w:rFonts w:ascii="Arial" w:hAnsi="Arial" w:cs="Arial"/>
          <w:color w:val="010000"/>
          <w:sz w:val="20"/>
        </w:rPr>
      </w:pPr>
      <w:r w:rsidRPr="002620D5">
        <w:rPr>
          <w:rFonts w:ascii="Arial" w:hAnsi="Arial" w:cs="Arial"/>
          <w:color w:val="010000"/>
          <w:sz w:val="20"/>
        </w:rPr>
        <w:t xml:space="preserve">Reasons of extension: </w:t>
      </w:r>
      <w:r w:rsidR="00BE30EC">
        <w:rPr>
          <w:rFonts w:ascii="Arial" w:hAnsi="Arial" w:cs="Arial"/>
          <w:color w:val="010000"/>
          <w:sz w:val="20"/>
        </w:rPr>
        <w:t>Be granted sufficient</w:t>
      </w:r>
      <w:bookmarkStart w:id="0" w:name="_GoBack"/>
      <w:bookmarkEnd w:id="0"/>
      <w:r w:rsidRPr="002620D5">
        <w:rPr>
          <w:rFonts w:ascii="Arial" w:hAnsi="Arial" w:cs="Arial"/>
          <w:color w:val="010000"/>
          <w:sz w:val="20"/>
        </w:rPr>
        <w:t xml:space="preserve"> time to take </w:t>
      </w:r>
      <w:r w:rsidR="00BE30EC">
        <w:rPr>
          <w:rFonts w:ascii="Arial" w:hAnsi="Arial" w:cs="Arial"/>
          <w:color w:val="010000"/>
          <w:sz w:val="20"/>
        </w:rPr>
        <w:t>measures to convene</w:t>
      </w:r>
      <w:r w:rsidRPr="002620D5">
        <w:rPr>
          <w:rFonts w:ascii="Arial" w:hAnsi="Arial" w:cs="Arial"/>
          <w:color w:val="010000"/>
          <w:sz w:val="20"/>
        </w:rPr>
        <w:t xml:space="preserve"> the Annual General Meeting 2024 </w:t>
      </w:r>
      <w:r w:rsidR="00A73261">
        <w:rPr>
          <w:rFonts w:ascii="Arial" w:hAnsi="Arial" w:cs="Arial"/>
          <w:color w:val="010000"/>
          <w:sz w:val="20"/>
        </w:rPr>
        <w:t>as per</w:t>
      </w:r>
      <w:r w:rsidRPr="002620D5">
        <w:rPr>
          <w:rFonts w:ascii="Arial" w:hAnsi="Arial" w:cs="Arial"/>
          <w:color w:val="010000"/>
          <w:sz w:val="20"/>
        </w:rPr>
        <w:t xml:space="preserve"> regulations</w:t>
      </w:r>
    </w:p>
    <w:p w14:paraId="1E173E86" w14:textId="2B741CB4" w:rsidR="00CD5C1E" w:rsidRPr="002620D5" w:rsidRDefault="00C47AA7" w:rsidP="00A73261">
      <w:pPr>
        <w:pStyle w:val="Vnbnnidung0"/>
        <w:tabs>
          <w:tab w:val="left" w:pos="432"/>
        </w:tabs>
        <w:spacing w:after="120"/>
        <w:jc w:val="both"/>
        <w:rPr>
          <w:rFonts w:ascii="Arial" w:hAnsi="Arial" w:cs="Arial"/>
          <w:color w:val="010000"/>
          <w:sz w:val="20"/>
        </w:rPr>
      </w:pPr>
      <w:r w:rsidRPr="002620D5">
        <w:rPr>
          <w:rFonts w:ascii="Arial" w:hAnsi="Arial" w:cs="Arial"/>
          <w:color w:val="010000"/>
          <w:sz w:val="20"/>
        </w:rPr>
        <w:t xml:space="preserve">Article 2: Authorize the Chair of the Board of Directors to decide the time, venue, and form of organizing the Annual General Meeting </w:t>
      </w:r>
      <w:r w:rsidR="00A73261">
        <w:rPr>
          <w:rFonts w:ascii="Arial" w:hAnsi="Arial" w:cs="Arial"/>
          <w:color w:val="010000"/>
          <w:sz w:val="20"/>
        </w:rPr>
        <w:t>under</w:t>
      </w:r>
      <w:r w:rsidRPr="002620D5">
        <w:rPr>
          <w:rFonts w:ascii="Arial" w:hAnsi="Arial" w:cs="Arial"/>
          <w:color w:val="010000"/>
          <w:sz w:val="20"/>
        </w:rPr>
        <w:t xml:space="preserve"> actual situation</w:t>
      </w:r>
      <w:r w:rsidR="00A73261">
        <w:rPr>
          <w:rFonts w:ascii="Arial" w:hAnsi="Arial" w:cs="Arial"/>
          <w:color w:val="010000"/>
          <w:sz w:val="20"/>
        </w:rPr>
        <w:t>s</w:t>
      </w:r>
      <w:r w:rsidRPr="002620D5">
        <w:rPr>
          <w:rFonts w:ascii="Arial" w:hAnsi="Arial" w:cs="Arial"/>
          <w:color w:val="010000"/>
          <w:sz w:val="20"/>
        </w:rPr>
        <w:t xml:space="preserve"> and notify shareholders </w:t>
      </w:r>
      <w:r w:rsidR="00A73261">
        <w:rPr>
          <w:rFonts w:ascii="Arial" w:hAnsi="Arial" w:cs="Arial"/>
          <w:color w:val="010000"/>
          <w:sz w:val="20"/>
        </w:rPr>
        <w:t>under applicable laws.</w:t>
      </w:r>
    </w:p>
    <w:p w14:paraId="53D427A7" w14:textId="1FC02138" w:rsidR="00CD5C1E" w:rsidRPr="002620D5" w:rsidRDefault="00C47AA7" w:rsidP="00A73261">
      <w:pPr>
        <w:pStyle w:val="Vnbnnidung0"/>
        <w:tabs>
          <w:tab w:val="left" w:pos="432"/>
        </w:tabs>
        <w:spacing w:after="120"/>
        <w:jc w:val="both"/>
        <w:rPr>
          <w:rFonts w:ascii="Arial" w:hAnsi="Arial" w:cs="Arial"/>
          <w:color w:val="010000"/>
          <w:sz w:val="20"/>
        </w:rPr>
      </w:pPr>
      <w:r w:rsidRPr="002620D5">
        <w:rPr>
          <w:rFonts w:ascii="Arial" w:hAnsi="Arial" w:cs="Arial"/>
          <w:color w:val="010000"/>
          <w:sz w:val="20"/>
        </w:rPr>
        <w:t xml:space="preserve">This </w:t>
      </w:r>
      <w:r w:rsidR="00A73261">
        <w:rPr>
          <w:rFonts w:ascii="Arial" w:hAnsi="Arial" w:cs="Arial"/>
          <w:color w:val="010000"/>
          <w:sz w:val="20"/>
        </w:rPr>
        <w:t xml:space="preserve">Board </w:t>
      </w:r>
      <w:r w:rsidRPr="002620D5">
        <w:rPr>
          <w:rFonts w:ascii="Arial" w:hAnsi="Arial" w:cs="Arial"/>
          <w:color w:val="010000"/>
          <w:sz w:val="20"/>
        </w:rPr>
        <w:t>Resolution takes effect from the date of its signing.</w:t>
      </w:r>
    </w:p>
    <w:sectPr w:rsidR="00CD5C1E" w:rsidRPr="002620D5" w:rsidSect="00D94CAA"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ACF85" w14:textId="77777777" w:rsidR="00A6038A" w:rsidRDefault="00A6038A">
      <w:r>
        <w:separator/>
      </w:r>
    </w:p>
  </w:endnote>
  <w:endnote w:type="continuationSeparator" w:id="0">
    <w:p w14:paraId="50461903" w14:textId="77777777" w:rsidR="00A6038A" w:rsidRDefault="00A6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E85C7" w14:textId="77777777" w:rsidR="00A6038A" w:rsidRDefault="00A6038A"/>
  </w:footnote>
  <w:footnote w:type="continuationSeparator" w:id="0">
    <w:p w14:paraId="0B9A4121" w14:textId="77777777" w:rsidR="00A6038A" w:rsidRDefault="00A603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66CC8"/>
    <w:multiLevelType w:val="multilevel"/>
    <w:tmpl w:val="9B441D90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1E"/>
    <w:rsid w:val="002620D5"/>
    <w:rsid w:val="0049259E"/>
    <w:rsid w:val="006A2B0E"/>
    <w:rsid w:val="00A6038A"/>
    <w:rsid w:val="00A73261"/>
    <w:rsid w:val="00BE30EC"/>
    <w:rsid w:val="00C47AA7"/>
    <w:rsid w:val="00CD5C1E"/>
    <w:rsid w:val="00D9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0263E1"/>
  <w15:docId w15:val="{29472863-F727-4D29-81C7-FFD22D5B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2024-05-04T04:32:00Z</dcterms:created>
  <dcterms:modified xsi:type="dcterms:W3CDTF">2024-05-04T04:33:00Z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8853b64ad5f7631115c7c90f8d283ad17d614695ea5d47c71f8720aae53394bc</vt:lpwstr>
  </property>
</Properties>
</file>