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EDAEE" w14:textId="77777777" w:rsidR="00B463E6" w:rsidRDefault="00C13B1A" w:rsidP="000D0383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6778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>
        <w:rPr>
          <w:rFonts w:ascii="Arial" w:hAnsi="Arial"/>
          <w:b/>
          <w:color w:val="010000"/>
          <w:sz w:val="20"/>
        </w:rPr>
        <w:t>HHN: Annual General Mandate 2024</w:t>
      </w:r>
    </w:p>
    <w:p w14:paraId="1D31C643" w14:textId="77777777" w:rsidR="00B463E6" w:rsidRDefault="00C13B1A" w:rsidP="000D0383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677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On April 24, 2024, Ha </w:t>
      </w:r>
      <w:proofErr w:type="spellStart"/>
      <w:r>
        <w:rPr>
          <w:rFonts w:ascii="Arial" w:hAnsi="Arial"/>
          <w:color w:val="010000"/>
          <w:sz w:val="20"/>
        </w:rPr>
        <w:t>Noi</w:t>
      </w:r>
      <w:proofErr w:type="spellEnd"/>
      <w:r>
        <w:rPr>
          <w:rFonts w:ascii="Arial" w:hAnsi="Arial"/>
          <w:color w:val="010000"/>
          <w:sz w:val="20"/>
        </w:rPr>
        <w:t xml:space="preserve"> Goods services and transport Joint Stock Company announced General Mandate No. 104/2024/NQ-DHDCD as follows:</w:t>
      </w:r>
    </w:p>
    <w:p w14:paraId="198FBE1A" w14:textId="77777777" w:rsidR="00B463E6" w:rsidRDefault="00C13B1A" w:rsidP="000D0383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‎‎Article 1. Approve the Report of the Board of Managers on the production and business results 2023 and the orientation for 2024, including the following basic targets:</w:t>
      </w:r>
    </w:p>
    <w:p w14:paraId="3A7CA30B" w14:textId="09876E14" w:rsidR="00B463E6" w:rsidRDefault="00C13B1A" w:rsidP="000D0383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(Unit: Thousand VND)</w:t>
      </w:r>
    </w:p>
    <w:tbl>
      <w:tblPr>
        <w:tblStyle w:val="a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0"/>
        <w:gridCol w:w="2061"/>
        <w:gridCol w:w="1226"/>
        <w:gridCol w:w="1295"/>
        <w:gridCol w:w="1325"/>
        <w:gridCol w:w="1270"/>
        <w:gridCol w:w="1270"/>
      </w:tblGrid>
      <w:tr w:rsidR="00B463E6" w14:paraId="6C8335B9" w14:textId="77777777">
        <w:tc>
          <w:tcPr>
            <w:tcW w:w="5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87AE4B" w14:textId="77777777" w:rsidR="00B463E6" w:rsidRDefault="00C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206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365029" w14:textId="77777777" w:rsidR="00B463E6" w:rsidRDefault="00C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Target</w:t>
            </w:r>
          </w:p>
        </w:tc>
        <w:tc>
          <w:tcPr>
            <w:tcW w:w="122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ADF15D" w14:textId="77777777" w:rsidR="00B463E6" w:rsidRDefault="00C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Results 2023 (The whole company)</w:t>
            </w:r>
          </w:p>
        </w:tc>
        <w:tc>
          <w:tcPr>
            <w:tcW w:w="129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1146AA" w14:textId="77777777" w:rsidR="00B463E6" w:rsidRDefault="00C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Results 2023 (The company)</w:t>
            </w:r>
          </w:p>
        </w:tc>
        <w:tc>
          <w:tcPr>
            <w:tcW w:w="132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D0C559" w14:textId="77777777" w:rsidR="00B463E6" w:rsidRDefault="00C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Plan 2024 (The whole company)</w:t>
            </w:r>
          </w:p>
        </w:tc>
        <w:tc>
          <w:tcPr>
            <w:tcW w:w="12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2F95CA" w14:textId="77777777" w:rsidR="00B463E6" w:rsidRDefault="00C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Plan 2024 (The company)</w:t>
            </w:r>
          </w:p>
        </w:tc>
        <w:tc>
          <w:tcPr>
            <w:tcW w:w="12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923188" w14:textId="77777777" w:rsidR="00B463E6" w:rsidRDefault="00C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Plan 2024 (Joint ventures)</w:t>
            </w:r>
          </w:p>
        </w:tc>
      </w:tr>
      <w:tr w:rsidR="00B463E6" w14:paraId="4ADF6092" w14:textId="77777777">
        <w:tc>
          <w:tcPr>
            <w:tcW w:w="5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B0FC36" w14:textId="77777777" w:rsidR="00B463E6" w:rsidRDefault="00C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206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C85CCA" w14:textId="77777777" w:rsidR="00B463E6" w:rsidRDefault="00C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Total revenue</w:t>
            </w:r>
          </w:p>
        </w:tc>
        <w:tc>
          <w:tcPr>
            <w:tcW w:w="122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9C7B90" w14:textId="77777777" w:rsidR="00B463E6" w:rsidRDefault="00C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34,911,061</w:t>
            </w:r>
          </w:p>
        </w:tc>
        <w:tc>
          <w:tcPr>
            <w:tcW w:w="129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3D21E9" w14:textId="77777777" w:rsidR="00B463E6" w:rsidRDefault="00C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31,381,736</w:t>
            </w:r>
          </w:p>
        </w:tc>
        <w:tc>
          <w:tcPr>
            <w:tcW w:w="132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4ABAAA" w14:textId="77777777" w:rsidR="00B463E6" w:rsidRDefault="00C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33,401,166</w:t>
            </w:r>
          </w:p>
        </w:tc>
        <w:tc>
          <w:tcPr>
            <w:tcW w:w="12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E7EF7D" w14:textId="77777777" w:rsidR="00B463E6" w:rsidRDefault="00C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29,882,720</w:t>
            </w:r>
          </w:p>
        </w:tc>
        <w:tc>
          <w:tcPr>
            <w:tcW w:w="12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DB5F30" w14:textId="77777777" w:rsidR="00B463E6" w:rsidRDefault="00B463E6">
            <w:pPr>
              <w:tabs>
                <w:tab w:val="left" w:pos="54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B463E6" w14:paraId="52968FEC" w14:textId="77777777">
        <w:tc>
          <w:tcPr>
            <w:tcW w:w="5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889A5A" w14:textId="77777777" w:rsidR="00B463E6" w:rsidRDefault="00C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206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965C50" w14:textId="77777777" w:rsidR="00B463E6" w:rsidRDefault="00C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Profit before tax</w:t>
            </w:r>
          </w:p>
        </w:tc>
        <w:tc>
          <w:tcPr>
            <w:tcW w:w="122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605F60" w14:textId="77777777" w:rsidR="00B463E6" w:rsidRDefault="00C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4,535,711</w:t>
            </w:r>
          </w:p>
        </w:tc>
        <w:tc>
          <w:tcPr>
            <w:tcW w:w="129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37B884" w14:textId="77777777" w:rsidR="00B463E6" w:rsidRDefault="00C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3,771,698</w:t>
            </w:r>
          </w:p>
        </w:tc>
        <w:tc>
          <w:tcPr>
            <w:tcW w:w="132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AEAD92" w14:textId="77777777" w:rsidR="00B463E6" w:rsidRDefault="00C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1,301,878</w:t>
            </w:r>
          </w:p>
        </w:tc>
        <w:tc>
          <w:tcPr>
            <w:tcW w:w="12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457934" w14:textId="77777777" w:rsidR="00B463E6" w:rsidRDefault="00C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489,378</w:t>
            </w:r>
          </w:p>
        </w:tc>
        <w:tc>
          <w:tcPr>
            <w:tcW w:w="12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479E74" w14:textId="77777777" w:rsidR="00B463E6" w:rsidRDefault="00C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812,500</w:t>
            </w:r>
          </w:p>
        </w:tc>
      </w:tr>
      <w:tr w:rsidR="00B463E6" w14:paraId="3D411614" w14:textId="77777777">
        <w:tc>
          <w:tcPr>
            <w:tcW w:w="5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1C2B05" w14:textId="77777777" w:rsidR="00B463E6" w:rsidRDefault="00C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206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AB5A4C" w14:textId="77777777" w:rsidR="00B463E6" w:rsidRDefault="00C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Depreciation of fixed assets</w:t>
            </w:r>
          </w:p>
        </w:tc>
        <w:tc>
          <w:tcPr>
            <w:tcW w:w="122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B3FCA3" w14:textId="77777777" w:rsidR="00B463E6" w:rsidRDefault="00C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1,610,738</w:t>
            </w:r>
          </w:p>
        </w:tc>
        <w:tc>
          <w:tcPr>
            <w:tcW w:w="129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EFC9B0" w14:textId="77777777" w:rsidR="00B463E6" w:rsidRDefault="00C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1,610,738</w:t>
            </w:r>
          </w:p>
        </w:tc>
        <w:tc>
          <w:tcPr>
            <w:tcW w:w="132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1941ED" w14:textId="77777777" w:rsidR="00B463E6" w:rsidRDefault="00C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1,551,634</w:t>
            </w:r>
          </w:p>
        </w:tc>
        <w:tc>
          <w:tcPr>
            <w:tcW w:w="12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02E488" w14:textId="77777777" w:rsidR="00B463E6" w:rsidRDefault="00C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1,551,634</w:t>
            </w:r>
          </w:p>
        </w:tc>
        <w:tc>
          <w:tcPr>
            <w:tcW w:w="12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062188" w14:textId="77777777" w:rsidR="00B463E6" w:rsidRDefault="00B463E6">
            <w:pPr>
              <w:tabs>
                <w:tab w:val="left" w:pos="54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B463E6" w14:paraId="483E4870" w14:textId="77777777">
        <w:tc>
          <w:tcPr>
            <w:tcW w:w="5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F8D589" w14:textId="77777777" w:rsidR="00B463E6" w:rsidRDefault="00C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206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249B32" w14:textId="77777777" w:rsidR="00B463E6" w:rsidRDefault="00C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Efficiency </w:t>
            </w:r>
          </w:p>
        </w:tc>
        <w:tc>
          <w:tcPr>
            <w:tcW w:w="122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62B05E" w14:textId="77777777" w:rsidR="00B463E6" w:rsidRDefault="00C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6,146,449</w:t>
            </w:r>
          </w:p>
        </w:tc>
        <w:tc>
          <w:tcPr>
            <w:tcW w:w="129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14F2DF" w14:textId="77777777" w:rsidR="00B463E6" w:rsidRDefault="00C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5,382,436</w:t>
            </w:r>
          </w:p>
        </w:tc>
        <w:tc>
          <w:tcPr>
            <w:tcW w:w="132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B61E11" w14:textId="77777777" w:rsidR="00B463E6" w:rsidRDefault="00C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2,853,511</w:t>
            </w:r>
          </w:p>
        </w:tc>
        <w:tc>
          <w:tcPr>
            <w:tcW w:w="12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AC4FD6" w14:textId="77777777" w:rsidR="00B463E6" w:rsidRDefault="00C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2,041,011</w:t>
            </w:r>
          </w:p>
        </w:tc>
        <w:tc>
          <w:tcPr>
            <w:tcW w:w="12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7FA087" w14:textId="77777777" w:rsidR="00B463E6" w:rsidRDefault="00C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812,500</w:t>
            </w:r>
          </w:p>
        </w:tc>
      </w:tr>
      <w:tr w:rsidR="00B463E6" w14:paraId="7110FFCA" w14:textId="77777777">
        <w:tc>
          <w:tcPr>
            <w:tcW w:w="5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6DD206" w14:textId="77777777" w:rsidR="00B463E6" w:rsidRDefault="00C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</w:t>
            </w:r>
          </w:p>
        </w:tc>
        <w:tc>
          <w:tcPr>
            <w:tcW w:w="206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1EE1C8" w14:textId="77777777" w:rsidR="00B463E6" w:rsidRDefault="00C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Salary fund</w:t>
            </w:r>
          </w:p>
        </w:tc>
        <w:tc>
          <w:tcPr>
            <w:tcW w:w="122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C898EF" w14:textId="77777777" w:rsidR="00B463E6" w:rsidRDefault="00C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7,860,159</w:t>
            </w:r>
          </w:p>
        </w:tc>
        <w:tc>
          <w:tcPr>
            <w:tcW w:w="129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9FFC84" w14:textId="77777777" w:rsidR="00B463E6" w:rsidRDefault="00C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7,860,159</w:t>
            </w:r>
          </w:p>
        </w:tc>
        <w:tc>
          <w:tcPr>
            <w:tcW w:w="132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A718D1" w14:textId="77777777" w:rsidR="00B463E6" w:rsidRDefault="00C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7,872,252</w:t>
            </w:r>
          </w:p>
        </w:tc>
        <w:tc>
          <w:tcPr>
            <w:tcW w:w="12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6FBAA1" w14:textId="77777777" w:rsidR="00B463E6" w:rsidRDefault="00C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7,860,159</w:t>
            </w:r>
          </w:p>
        </w:tc>
        <w:tc>
          <w:tcPr>
            <w:tcW w:w="12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578EE0" w14:textId="77777777" w:rsidR="00B463E6" w:rsidRDefault="00B463E6">
            <w:pPr>
              <w:tabs>
                <w:tab w:val="left" w:pos="54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3431CF1C" w14:textId="77777777" w:rsidR="00B463E6" w:rsidRDefault="00C13B1A" w:rsidP="000D0383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‎‎Article 2. Approve the Report on the activities of the Board of Directors in 2023 and the orientation and tasks of the Board of Directors in 2021;</w:t>
      </w:r>
    </w:p>
    <w:p w14:paraId="75E34035" w14:textId="77777777" w:rsidR="00B463E6" w:rsidRDefault="00C13B1A" w:rsidP="000D0383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‎‎Article 3. Approve the Audited Substitute Financial Statements 2022 due to the Company receiving land tax reduction with the following basic financial targets:</w:t>
      </w:r>
    </w:p>
    <w:p w14:paraId="2A2325B2" w14:textId="77777777" w:rsidR="00B463E6" w:rsidRDefault="00C13B1A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Unit VND</w:t>
      </w:r>
    </w:p>
    <w:tbl>
      <w:tblPr>
        <w:tblStyle w:val="a0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5"/>
        <w:gridCol w:w="5203"/>
        <w:gridCol w:w="2889"/>
      </w:tblGrid>
      <w:tr w:rsidR="00B463E6" w14:paraId="070A4DC5" w14:textId="77777777">
        <w:tc>
          <w:tcPr>
            <w:tcW w:w="92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69DBA2" w14:textId="77777777" w:rsidR="00B463E6" w:rsidRDefault="00C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520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1B91A4" w14:textId="77777777" w:rsidR="00B463E6" w:rsidRDefault="00C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Target</w:t>
            </w:r>
          </w:p>
        </w:tc>
        <w:tc>
          <w:tcPr>
            <w:tcW w:w="288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AF3ED5" w14:textId="77777777" w:rsidR="00B463E6" w:rsidRDefault="00C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Amount</w:t>
            </w:r>
          </w:p>
        </w:tc>
      </w:tr>
      <w:tr w:rsidR="00B463E6" w14:paraId="285BD9F7" w14:textId="77777777">
        <w:tc>
          <w:tcPr>
            <w:tcW w:w="92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56309F" w14:textId="77777777" w:rsidR="00B463E6" w:rsidRDefault="00C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520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940420" w14:textId="77777777" w:rsidR="00B463E6" w:rsidRDefault="00C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Total assets</w:t>
            </w:r>
          </w:p>
        </w:tc>
        <w:tc>
          <w:tcPr>
            <w:tcW w:w="288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6F1A97" w14:textId="77777777" w:rsidR="00B463E6" w:rsidRDefault="00C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33,762,700,604</w:t>
            </w:r>
          </w:p>
        </w:tc>
      </w:tr>
      <w:tr w:rsidR="00B463E6" w14:paraId="35C9D7C5" w14:textId="77777777">
        <w:tc>
          <w:tcPr>
            <w:tcW w:w="92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C59AAA" w14:textId="77777777" w:rsidR="00B463E6" w:rsidRDefault="00C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520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CB65F7" w14:textId="6A171C9F" w:rsidR="00B463E6" w:rsidRDefault="000D0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Owner</w:t>
            </w:r>
            <w:r w:rsidR="00C13B1A">
              <w:rPr>
                <w:rFonts w:ascii="Arial" w:hAnsi="Arial"/>
                <w:color w:val="010000"/>
                <w:sz w:val="20"/>
              </w:rPr>
              <w:t>’</w:t>
            </w:r>
            <w:r>
              <w:rPr>
                <w:rFonts w:ascii="Arial" w:hAnsi="Arial"/>
                <w:color w:val="010000"/>
                <w:sz w:val="20"/>
              </w:rPr>
              <w:t>s</w:t>
            </w:r>
            <w:r w:rsidR="00C13B1A">
              <w:rPr>
                <w:rFonts w:ascii="Arial" w:hAnsi="Arial"/>
                <w:color w:val="010000"/>
                <w:sz w:val="20"/>
              </w:rPr>
              <w:t xml:space="preserve"> equity</w:t>
            </w:r>
          </w:p>
        </w:tc>
        <w:tc>
          <w:tcPr>
            <w:tcW w:w="288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139863" w14:textId="77777777" w:rsidR="00B463E6" w:rsidRDefault="00C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23,328,773,815</w:t>
            </w:r>
          </w:p>
        </w:tc>
      </w:tr>
      <w:tr w:rsidR="00B463E6" w14:paraId="6CBA670F" w14:textId="77777777">
        <w:tc>
          <w:tcPr>
            <w:tcW w:w="92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677730" w14:textId="77777777" w:rsidR="00B463E6" w:rsidRDefault="00C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520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541F03" w14:textId="77777777" w:rsidR="00B463E6" w:rsidRDefault="00C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Total revenue</w:t>
            </w:r>
          </w:p>
        </w:tc>
        <w:tc>
          <w:tcPr>
            <w:tcW w:w="288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36A73C" w14:textId="77777777" w:rsidR="00B463E6" w:rsidRDefault="00C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29,934,032,221</w:t>
            </w:r>
          </w:p>
        </w:tc>
      </w:tr>
      <w:tr w:rsidR="00B463E6" w14:paraId="325FC6C4" w14:textId="77777777">
        <w:tc>
          <w:tcPr>
            <w:tcW w:w="92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10A87B" w14:textId="77777777" w:rsidR="00B463E6" w:rsidRDefault="00C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520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1C3E3E" w14:textId="77777777" w:rsidR="00B463E6" w:rsidRDefault="00C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Total expenses</w:t>
            </w:r>
          </w:p>
        </w:tc>
        <w:tc>
          <w:tcPr>
            <w:tcW w:w="288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8C95E8" w14:textId="77777777" w:rsidR="00B463E6" w:rsidRDefault="00C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26,360,645,031</w:t>
            </w:r>
          </w:p>
        </w:tc>
      </w:tr>
      <w:tr w:rsidR="00B463E6" w14:paraId="45DA9FA5" w14:textId="77777777">
        <w:tc>
          <w:tcPr>
            <w:tcW w:w="92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590CBF" w14:textId="77777777" w:rsidR="00B463E6" w:rsidRDefault="00C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</w:t>
            </w:r>
          </w:p>
        </w:tc>
        <w:tc>
          <w:tcPr>
            <w:tcW w:w="520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4AB010" w14:textId="77777777" w:rsidR="00B463E6" w:rsidRDefault="00C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Total profit before tax</w:t>
            </w:r>
          </w:p>
        </w:tc>
        <w:tc>
          <w:tcPr>
            <w:tcW w:w="288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5123E3" w14:textId="77777777" w:rsidR="00B463E6" w:rsidRDefault="00C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3,573,387,190</w:t>
            </w:r>
          </w:p>
        </w:tc>
      </w:tr>
      <w:tr w:rsidR="00B463E6" w14:paraId="4D518E3E" w14:textId="77777777">
        <w:tc>
          <w:tcPr>
            <w:tcW w:w="92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2B5129" w14:textId="77777777" w:rsidR="00B463E6" w:rsidRDefault="00C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</w:t>
            </w:r>
          </w:p>
        </w:tc>
        <w:tc>
          <w:tcPr>
            <w:tcW w:w="520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D57206" w14:textId="77777777" w:rsidR="00B463E6" w:rsidRDefault="00C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Current corporate income tax expense</w:t>
            </w:r>
          </w:p>
        </w:tc>
        <w:tc>
          <w:tcPr>
            <w:tcW w:w="288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84522D" w14:textId="77777777" w:rsidR="00B463E6" w:rsidRDefault="00C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741,628,656</w:t>
            </w:r>
          </w:p>
        </w:tc>
      </w:tr>
      <w:tr w:rsidR="00B463E6" w14:paraId="1901C50F" w14:textId="77777777">
        <w:tc>
          <w:tcPr>
            <w:tcW w:w="92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CAD124" w14:textId="77777777" w:rsidR="00B463E6" w:rsidRDefault="00C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</w:t>
            </w:r>
          </w:p>
        </w:tc>
        <w:tc>
          <w:tcPr>
            <w:tcW w:w="520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C62C25" w14:textId="77777777" w:rsidR="00B463E6" w:rsidRDefault="00C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Profit after tax</w:t>
            </w:r>
          </w:p>
        </w:tc>
        <w:tc>
          <w:tcPr>
            <w:tcW w:w="288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9847A8" w14:textId="77777777" w:rsidR="00B463E6" w:rsidRDefault="00C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2,831,758,534</w:t>
            </w:r>
          </w:p>
        </w:tc>
      </w:tr>
      <w:tr w:rsidR="00B463E6" w14:paraId="6C374266" w14:textId="77777777">
        <w:tc>
          <w:tcPr>
            <w:tcW w:w="92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F19FCC" w14:textId="77777777" w:rsidR="00B463E6" w:rsidRDefault="00C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</w:t>
            </w:r>
          </w:p>
        </w:tc>
        <w:tc>
          <w:tcPr>
            <w:tcW w:w="520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8C3CAA" w14:textId="2B96B375" w:rsidR="00B463E6" w:rsidRDefault="00C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Basic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earning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per share</w:t>
            </w:r>
          </w:p>
        </w:tc>
        <w:tc>
          <w:tcPr>
            <w:tcW w:w="288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FFFA6E" w14:textId="77777777" w:rsidR="00B463E6" w:rsidRDefault="00C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1,770</w:t>
            </w:r>
          </w:p>
        </w:tc>
      </w:tr>
    </w:tbl>
    <w:p w14:paraId="1EFB2763" w14:textId="77777777" w:rsidR="00B463E6" w:rsidRDefault="00C13B1A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‎‎Article 4. Approve the Audited Financial Statements of 2023 with the following basic financial targets:</w:t>
      </w:r>
    </w:p>
    <w:p w14:paraId="2422BCD6" w14:textId="77777777" w:rsidR="00B463E6" w:rsidRDefault="00C13B1A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Unit VND</w:t>
      </w:r>
    </w:p>
    <w:tbl>
      <w:tblPr>
        <w:tblStyle w:val="a1"/>
        <w:tblW w:w="9017" w:type="dxa"/>
        <w:tblLayout w:type="fixed"/>
        <w:tblLook w:val="0400" w:firstRow="0" w:lastRow="0" w:firstColumn="0" w:lastColumn="0" w:noHBand="0" w:noVBand="1"/>
      </w:tblPr>
      <w:tblGrid>
        <w:gridCol w:w="932"/>
        <w:gridCol w:w="5194"/>
        <w:gridCol w:w="2891"/>
      </w:tblGrid>
      <w:tr w:rsidR="00B463E6" w14:paraId="5C414F47" w14:textId="77777777"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B3163C" w14:textId="77777777" w:rsidR="00B463E6" w:rsidRDefault="00C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No.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68FA59" w14:textId="77777777" w:rsidR="00B463E6" w:rsidRDefault="00C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Target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592085" w14:textId="77777777" w:rsidR="00B463E6" w:rsidRDefault="00C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Amount</w:t>
            </w:r>
          </w:p>
        </w:tc>
      </w:tr>
      <w:tr w:rsidR="00B463E6" w14:paraId="030B20DA" w14:textId="77777777"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8B4323" w14:textId="77777777" w:rsidR="00B463E6" w:rsidRDefault="00C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9B8895" w14:textId="77777777" w:rsidR="00B463E6" w:rsidRDefault="00C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Total assets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D38110" w14:textId="77777777" w:rsidR="00B463E6" w:rsidRDefault="00C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35,017,066,858</w:t>
            </w:r>
          </w:p>
        </w:tc>
      </w:tr>
      <w:tr w:rsidR="00B463E6" w14:paraId="1BEF7900" w14:textId="77777777"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F7FD19" w14:textId="77777777" w:rsidR="00B463E6" w:rsidRDefault="00C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B580E0" w14:textId="0EAB9B2B" w:rsidR="00B463E6" w:rsidRDefault="000D0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Owner</w:t>
            </w:r>
            <w:r w:rsidR="00C13B1A">
              <w:rPr>
                <w:rFonts w:ascii="Arial" w:hAnsi="Arial"/>
                <w:color w:val="010000"/>
                <w:sz w:val="20"/>
              </w:rPr>
              <w:t>’</w:t>
            </w:r>
            <w:r>
              <w:rPr>
                <w:rFonts w:ascii="Arial" w:hAnsi="Arial"/>
                <w:color w:val="010000"/>
                <w:sz w:val="20"/>
              </w:rPr>
              <w:t>s</w:t>
            </w:r>
            <w:r w:rsidR="00C13B1A">
              <w:rPr>
                <w:rFonts w:ascii="Arial" w:hAnsi="Arial"/>
                <w:color w:val="010000"/>
                <w:sz w:val="20"/>
              </w:rPr>
              <w:t xml:space="preserve"> equity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1DE538" w14:textId="77777777" w:rsidR="00B463E6" w:rsidRDefault="00C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25,508,256,019</w:t>
            </w:r>
          </w:p>
        </w:tc>
      </w:tr>
      <w:tr w:rsidR="00B463E6" w14:paraId="0E383269" w14:textId="77777777"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01BECE" w14:textId="77777777" w:rsidR="00B463E6" w:rsidRDefault="00C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01BB74" w14:textId="77777777" w:rsidR="00B463E6" w:rsidRDefault="00C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Total revenue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812A14" w14:textId="77777777" w:rsidR="00B463E6" w:rsidRDefault="00C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31,381,735,732</w:t>
            </w:r>
          </w:p>
        </w:tc>
      </w:tr>
      <w:tr w:rsidR="00B463E6" w14:paraId="5BE890E7" w14:textId="77777777"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F2A46A" w14:textId="77777777" w:rsidR="00B463E6" w:rsidRDefault="00C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9A27D0" w14:textId="77777777" w:rsidR="00B463E6" w:rsidRDefault="00C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Total expenses: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F61DF8" w14:textId="77777777" w:rsidR="00B463E6" w:rsidRDefault="00C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27,610,037,310</w:t>
            </w:r>
          </w:p>
        </w:tc>
      </w:tr>
      <w:tr w:rsidR="00B463E6" w14:paraId="16901D61" w14:textId="77777777"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0BD7A5" w14:textId="77777777" w:rsidR="00B463E6" w:rsidRDefault="00C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5C93BB" w14:textId="77777777" w:rsidR="00B463E6" w:rsidRDefault="00C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Total profit before tax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9C4F03" w14:textId="77777777" w:rsidR="00B463E6" w:rsidRDefault="00C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3,771,698,422</w:t>
            </w:r>
          </w:p>
        </w:tc>
      </w:tr>
      <w:tr w:rsidR="00B463E6" w14:paraId="6D87A204" w14:textId="77777777"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C3CC4F" w14:textId="77777777" w:rsidR="00B463E6" w:rsidRDefault="00C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81C3C6" w14:textId="77777777" w:rsidR="00B463E6" w:rsidRDefault="00C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Current corporate income tax expense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404AEF" w14:textId="77777777" w:rsidR="00B463E6" w:rsidRDefault="00C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1,094,790,508</w:t>
            </w:r>
          </w:p>
        </w:tc>
      </w:tr>
      <w:tr w:rsidR="00B463E6" w14:paraId="3F2CB9B1" w14:textId="77777777"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5F6293" w14:textId="77777777" w:rsidR="00B463E6" w:rsidRDefault="00C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556343" w14:textId="77777777" w:rsidR="00B463E6" w:rsidRDefault="00C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Profit after tax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CDF494" w14:textId="77777777" w:rsidR="00B463E6" w:rsidRDefault="00C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2,676,907,914</w:t>
            </w:r>
          </w:p>
        </w:tc>
      </w:tr>
      <w:tr w:rsidR="00B463E6" w14:paraId="57223EE3" w14:textId="77777777"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DC92BE" w14:textId="77777777" w:rsidR="00B463E6" w:rsidRDefault="00C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F65BE3" w14:textId="4F6F6033" w:rsidR="00B463E6" w:rsidRDefault="00C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Basic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earning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per share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2FFDA4" w14:textId="77777777" w:rsidR="00B463E6" w:rsidRDefault="00C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1,487</w:t>
            </w:r>
          </w:p>
        </w:tc>
      </w:tr>
    </w:tbl>
    <w:p w14:paraId="57D38126" w14:textId="77777777" w:rsidR="00B463E6" w:rsidRDefault="00C13B1A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‎‎Article 5. Approve the Company's profit distribution plan in 2022 as follows:</w:t>
      </w:r>
    </w:p>
    <w:p w14:paraId="680E8437" w14:textId="77777777" w:rsidR="00B463E6" w:rsidRDefault="00C13B1A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Unit: VND</w:t>
      </w:r>
    </w:p>
    <w:tbl>
      <w:tblPr>
        <w:tblStyle w:val="a2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69"/>
        <w:gridCol w:w="1914"/>
        <w:gridCol w:w="1800"/>
        <w:gridCol w:w="1834"/>
      </w:tblGrid>
      <w:tr w:rsidR="00B463E6" w14:paraId="5FB22F54" w14:textId="77777777">
        <w:tc>
          <w:tcPr>
            <w:tcW w:w="346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F32406" w14:textId="77777777" w:rsidR="00B463E6" w:rsidRDefault="00C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Content</w:t>
            </w:r>
          </w:p>
        </w:tc>
        <w:tc>
          <w:tcPr>
            <w:tcW w:w="191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B9BF2F" w14:textId="77777777" w:rsidR="00B463E6" w:rsidRDefault="00C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Profit approved by the General Meeting of Shareholders 2023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E87971" w14:textId="77777777" w:rsidR="00B463E6" w:rsidRDefault="00C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Supplemented profit due to land tax reduction </w:t>
            </w:r>
          </w:p>
        </w:tc>
        <w:tc>
          <w:tcPr>
            <w:tcW w:w="183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87B832" w14:textId="77777777" w:rsidR="00B463E6" w:rsidRDefault="00C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Total profit 2022</w:t>
            </w:r>
          </w:p>
        </w:tc>
      </w:tr>
      <w:tr w:rsidR="00B463E6" w14:paraId="26ABA7A5" w14:textId="77777777">
        <w:tc>
          <w:tcPr>
            <w:tcW w:w="346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CE8933" w14:textId="77777777" w:rsidR="00B463E6" w:rsidRDefault="00C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Total profit after tax for distribution:</w:t>
            </w:r>
          </w:p>
        </w:tc>
        <w:tc>
          <w:tcPr>
            <w:tcW w:w="191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7241A4" w14:textId="77777777" w:rsidR="00B463E6" w:rsidRDefault="00C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327,128,554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4D21CB" w14:textId="77777777" w:rsidR="00B463E6" w:rsidRDefault="00C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2,504,629,980</w:t>
            </w:r>
          </w:p>
        </w:tc>
        <w:tc>
          <w:tcPr>
            <w:tcW w:w="183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165445" w14:textId="77777777" w:rsidR="00B463E6" w:rsidRDefault="00C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2,831,758,534</w:t>
            </w:r>
          </w:p>
        </w:tc>
      </w:tr>
      <w:tr w:rsidR="00B463E6" w14:paraId="12288D80" w14:textId="77777777">
        <w:tc>
          <w:tcPr>
            <w:tcW w:w="346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4B30D9" w14:textId="77777777" w:rsidR="00B463E6" w:rsidRDefault="00C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Total appropriation for funds</w:t>
            </w:r>
          </w:p>
        </w:tc>
        <w:tc>
          <w:tcPr>
            <w:tcW w:w="191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9DA862" w14:textId="77777777" w:rsidR="00B463E6" w:rsidRDefault="00C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114,494,993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51903D" w14:textId="77777777" w:rsidR="00B463E6" w:rsidRDefault="00C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626,157,495</w:t>
            </w:r>
          </w:p>
        </w:tc>
        <w:tc>
          <w:tcPr>
            <w:tcW w:w="183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176FCC" w14:textId="77777777" w:rsidR="00B463E6" w:rsidRDefault="00C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740,652,488</w:t>
            </w:r>
          </w:p>
        </w:tc>
      </w:tr>
      <w:tr w:rsidR="00B463E6" w14:paraId="6DD4B1B7" w14:textId="77777777">
        <w:tc>
          <w:tcPr>
            <w:tcW w:w="346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C9174E" w14:textId="77777777" w:rsidR="00B463E6" w:rsidRDefault="00C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 Appropriation for investment and development fund (15% profit)</w:t>
            </w:r>
          </w:p>
        </w:tc>
        <w:tc>
          <w:tcPr>
            <w:tcW w:w="191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8FE0D5" w14:textId="77777777" w:rsidR="00B463E6" w:rsidRDefault="00C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49,069,283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B10885" w14:textId="77777777" w:rsidR="00B463E6" w:rsidRDefault="00C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375,694,497</w:t>
            </w:r>
          </w:p>
        </w:tc>
        <w:tc>
          <w:tcPr>
            <w:tcW w:w="183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A0B88C" w14:textId="77777777" w:rsidR="00B463E6" w:rsidRDefault="00C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424,763,780</w:t>
            </w:r>
          </w:p>
        </w:tc>
      </w:tr>
      <w:tr w:rsidR="00B463E6" w14:paraId="04CD1DA8" w14:textId="77777777">
        <w:tc>
          <w:tcPr>
            <w:tcW w:w="346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B2B80A" w14:textId="77777777" w:rsidR="00B463E6" w:rsidRDefault="00C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 Appropriation for bonus fund for the Executive Board (10% profit)</w:t>
            </w:r>
          </w:p>
        </w:tc>
        <w:tc>
          <w:tcPr>
            <w:tcW w:w="191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4B032A" w14:textId="77777777" w:rsidR="00B463E6" w:rsidRDefault="00C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32,712,855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C5508E" w14:textId="77777777" w:rsidR="00B463E6" w:rsidRDefault="00C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</w:t>
            </w:r>
          </w:p>
        </w:tc>
        <w:tc>
          <w:tcPr>
            <w:tcW w:w="183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B01973" w14:textId="77777777" w:rsidR="00B463E6" w:rsidRDefault="00C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32,712,855</w:t>
            </w:r>
          </w:p>
        </w:tc>
      </w:tr>
      <w:tr w:rsidR="00B463E6" w14:paraId="22E41A56" w14:textId="77777777">
        <w:tc>
          <w:tcPr>
            <w:tcW w:w="346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F77771" w14:textId="77777777" w:rsidR="00B463E6" w:rsidRDefault="00C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 Appropriation for bonus and welfare fund (10% profit)</w:t>
            </w:r>
          </w:p>
        </w:tc>
        <w:tc>
          <w:tcPr>
            <w:tcW w:w="191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AE19D7" w14:textId="77777777" w:rsidR="00B463E6" w:rsidRDefault="00C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32,712,855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224D9D" w14:textId="77777777" w:rsidR="00B463E6" w:rsidRDefault="00C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250,462,998</w:t>
            </w:r>
          </w:p>
        </w:tc>
        <w:tc>
          <w:tcPr>
            <w:tcW w:w="183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0820EF" w14:textId="77777777" w:rsidR="00B463E6" w:rsidRDefault="00C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283,175,853</w:t>
            </w:r>
          </w:p>
        </w:tc>
      </w:tr>
      <w:tr w:rsidR="00B463E6" w14:paraId="5172399A" w14:textId="77777777">
        <w:tc>
          <w:tcPr>
            <w:tcW w:w="346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D320D9" w14:textId="77777777" w:rsidR="00B463E6" w:rsidRDefault="00C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Profit for dividend payment</w:t>
            </w:r>
          </w:p>
        </w:tc>
        <w:tc>
          <w:tcPr>
            <w:tcW w:w="191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9FE2DF" w14:textId="77777777" w:rsidR="00B463E6" w:rsidRDefault="00C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212,633,561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CF6E24" w14:textId="77777777" w:rsidR="00B463E6" w:rsidRDefault="00C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1,878,472,485</w:t>
            </w:r>
          </w:p>
        </w:tc>
        <w:tc>
          <w:tcPr>
            <w:tcW w:w="183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C1088F" w14:textId="77777777" w:rsidR="00B463E6" w:rsidRDefault="00C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2,091,106,046</w:t>
            </w:r>
          </w:p>
        </w:tc>
      </w:tr>
      <w:tr w:rsidR="00B463E6" w14:paraId="70CAC7C1" w14:textId="77777777">
        <w:tc>
          <w:tcPr>
            <w:tcW w:w="346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18B91D" w14:textId="77777777" w:rsidR="00B463E6" w:rsidRDefault="00C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Charter capital:</w:t>
            </w:r>
          </w:p>
        </w:tc>
        <w:tc>
          <w:tcPr>
            <w:tcW w:w="191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826428" w14:textId="77777777" w:rsidR="00B463E6" w:rsidRDefault="00C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14,400,000,000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49051C" w14:textId="77777777" w:rsidR="00B463E6" w:rsidRDefault="00C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14,400,000,000</w:t>
            </w:r>
          </w:p>
        </w:tc>
        <w:tc>
          <w:tcPr>
            <w:tcW w:w="183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55CDF3" w14:textId="77777777" w:rsidR="00B463E6" w:rsidRDefault="00C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14,400,000,000</w:t>
            </w:r>
          </w:p>
        </w:tc>
      </w:tr>
      <w:tr w:rsidR="00B463E6" w14:paraId="7D11EE3B" w14:textId="77777777">
        <w:tc>
          <w:tcPr>
            <w:tcW w:w="346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5E2735" w14:textId="77777777" w:rsidR="00B463E6" w:rsidRDefault="00C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 Dividend rate (% per year)</w:t>
            </w:r>
          </w:p>
        </w:tc>
        <w:tc>
          <w:tcPr>
            <w:tcW w:w="191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12EBE6" w14:textId="77777777" w:rsidR="00B463E6" w:rsidRDefault="00C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F0D9FC" w14:textId="77777777" w:rsidR="00B463E6" w:rsidRDefault="00B463E6">
            <w:pPr>
              <w:tabs>
                <w:tab w:val="left" w:pos="54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83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E73CBC" w14:textId="77777777" w:rsidR="00B463E6" w:rsidRDefault="00B463E6">
            <w:pPr>
              <w:tabs>
                <w:tab w:val="left" w:pos="54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B463E6" w14:paraId="12513444" w14:textId="77777777">
        <w:tc>
          <w:tcPr>
            <w:tcW w:w="346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ED4A0A" w14:textId="77777777" w:rsidR="00B463E6" w:rsidRDefault="00C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 Profit for dividend payment</w:t>
            </w:r>
          </w:p>
        </w:tc>
        <w:tc>
          <w:tcPr>
            <w:tcW w:w="191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3E3E2C" w14:textId="77777777" w:rsidR="00B463E6" w:rsidRDefault="00C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432,000,000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E3DDF9" w14:textId="77777777" w:rsidR="00B463E6" w:rsidRDefault="00B463E6">
            <w:pPr>
              <w:tabs>
                <w:tab w:val="left" w:pos="54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83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C777F1" w14:textId="77777777" w:rsidR="00B463E6" w:rsidRDefault="00B463E6">
            <w:pPr>
              <w:tabs>
                <w:tab w:val="left" w:pos="54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B463E6" w14:paraId="2980741E" w14:textId="77777777">
        <w:tc>
          <w:tcPr>
            <w:tcW w:w="346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4ED4C4" w14:textId="77777777" w:rsidR="00B463E6" w:rsidRDefault="00C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Retained undistributed profit</w:t>
            </w:r>
          </w:p>
        </w:tc>
        <w:tc>
          <w:tcPr>
            <w:tcW w:w="191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4548A7" w14:textId="77777777" w:rsidR="00B463E6" w:rsidRDefault="00B463E6">
            <w:pPr>
              <w:tabs>
                <w:tab w:val="left" w:pos="54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012CA0" w14:textId="77777777" w:rsidR="00B463E6" w:rsidRDefault="00C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1,878,472,485</w:t>
            </w:r>
          </w:p>
        </w:tc>
        <w:tc>
          <w:tcPr>
            <w:tcW w:w="183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19B6A3" w14:textId="77777777" w:rsidR="00B463E6" w:rsidRDefault="00C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1,878,472,485</w:t>
            </w:r>
          </w:p>
        </w:tc>
      </w:tr>
    </w:tbl>
    <w:p w14:paraId="3FF361C3" w14:textId="77777777" w:rsidR="00B463E6" w:rsidRDefault="00C13B1A" w:rsidP="000D0383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Remaining profit for dividend payment VND 1,878,472,485;</w:t>
      </w:r>
    </w:p>
    <w:p w14:paraId="76FA5EE3" w14:textId="77777777" w:rsidR="00B463E6" w:rsidRDefault="00C13B1A" w:rsidP="000D0383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‎‎Article 6. Approve the Plan on profit distribution and dividend payment of 2023 as follows:</w:t>
      </w:r>
    </w:p>
    <w:p w14:paraId="7E171DA0" w14:textId="77777777" w:rsidR="00B463E6" w:rsidRDefault="00C13B1A" w:rsidP="000D0383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Unit: VND</w:t>
      </w:r>
    </w:p>
    <w:tbl>
      <w:tblPr>
        <w:tblStyle w:val="a3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55"/>
        <w:gridCol w:w="990"/>
        <w:gridCol w:w="2272"/>
      </w:tblGrid>
      <w:tr w:rsidR="00B463E6" w14:paraId="06894932" w14:textId="77777777">
        <w:tc>
          <w:tcPr>
            <w:tcW w:w="575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D88A5F" w14:textId="77777777" w:rsidR="00B463E6" w:rsidRDefault="00C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Content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41331C" w14:textId="77777777" w:rsidR="00B463E6" w:rsidRDefault="00C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Unit</w:t>
            </w:r>
          </w:p>
        </w:tc>
        <w:tc>
          <w:tcPr>
            <w:tcW w:w="227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526F6C" w14:textId="77777777" w:rsidR="00B463E6" w:rsidRDefault="00C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2023</w:t>
            </w:r>
          </w:p>
        </w:tc>
      </w:tr>
      <w:tr w:rsidR="00B463E6" w14:paraId="08101E3A" w14:textId="77777777">
        <w:tc>
          <w:tcPr>
            <w:tcW w:w="575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C9B72A" w14:textId="77777777" w:rsidR="00B463E6" w:rsidRDefault="00C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Total distributed profit after tax: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84A258" w14:textId="77777777" w:rsidR="00B463E6" w:rsidRDefault="00C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VND</w:t>
            </w:r>
          </w:p>
        </w:tc>
        <w:tc>
          <w:tcPr>
            <w:tcW w:w="227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54ECE0" w14:textId="77777777" w:rsidR="00B463E6" w:rsidRDefault="00C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2,676,907,914</w:t>
            </w:r>
          </w:p>
        </w:tc>
      </w:tr>
      <w:tr w:rsidR="00B463E6" w14:paraId="44495F31" w14:textId="77777777">
        <w:tc>
          <w:tcPr>
            <w:tcW w:w="575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644A2B" w14:textId="77777777" w:rsidR="00B463E6" w:rsidRDefault="00C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Total appropriation for funds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7E4F2E" w14:textId="77777777" w:rsidR="00B463E6" w:rsidRDefault="00C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VND</w:t>
            </w:r>
          </w:p>
        </w:tc>
        <w:tc>
          <w:tcPr>
            <w:tcW w:w="227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B05F6A" w14:textId="77777777" w:rsidR="00B463E6" w:rsidRDefault="00C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749,226,978</w:t>
            </w:r>
          </w:p>
        </w:tc>
      </w:tr>
      <w:tr w:rsidR="00B463E6" w14:paraId="4943612E" w14:textId="77777777">
        <w:tc>
          <w:tcPr>
            <w:tcW w:w="575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D5B40A" w14:textId="77777777" w:rsidR="00B463E6" w:rsidRDefault="00C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 Appropriation for investment and development fund (15% profit)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68CA4A" w14:textId="77777777" w:rsidR="00B463E6" w:rsidRDefault="00C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VND</w:t>
            </w:r>
          </w:p>
        </w:tc>
        <w:tc>
          <w:tcPr>
            <w:tcW w:w="227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252684" w14:textId="77777777" w:rsidR="00B463E6" w:rsidRDefault="00C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401,536,187</w:t>
            </w:r>
          </w:p>
        </w:tc>
      </w:tr>
      <w:tr w:rsidR="00B463E6" w14:paraId="6CB93379" w14:textId="77777777">
        <w:tc>
          <w:tcPr>
            <w:tcW w:w="575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F409A3" w14:textId="77777777" w:rsidR="00B463E6" w:rsidRDefault="00C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Appropriation for bonus fund for the Executive Board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228996" w14:textId="77777777" w:rsidR="00B463E6" w:rsidRDefault="00C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VND</w:t>
            </w:r>
          </w:p>
        </w:tc>
        <w:tc>
          <w:tcPr>
            <w:tcW w:w="227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04EB07" w14:textId="77777777" w:rsidR="00B463E6" w:rsidRDefault="00C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80,000,000</w:t>
            </w:r>
          </w:p>
        </w:tc>
      </w:tr>
      <w:tr w:rsidR="00B463E6" w14:paraId="39DDBA68" w14:textId="77777777">
        <w:tc>
          <w:tcPr>
            <w:tcW w:w="575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F8912F" w14:textId="77777777" w:rsidR="00B463E6" w:rsidRDefault="00C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Appropriation for bonus and welfare fund (10% profit)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E68507" w14:textId="77777777" w:rsidR="00B463E6" w:rsidRDefault="00C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VND</w:t>
            </w:r>
          </w:p>
        </w:tc>
        <w:tc>
          <w:tcPr>
            <w:tcW w:w="227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8A25EC" w14:textId="77777777" w:rsidR="00B463E6" w:rsidRDefault="00C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267,690,791</w:t>
            </w:r>
          </w:p>
        </w:tc>
      </w:tr>
      <w:tr w:rsidR="00B463E6" w14:paraId="5A864D87" w14:textId="77777777">
        <w:tc>
          <w:tcPr>
            <w:tcW w:w="575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45024C" w14:textId="77777777" w:rsidR="00B463E6" w:rsidRDefault="00C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Profit for dividend payment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75E146" w14:textId="77777777" w:rsidR="00B463E6" w:rsidRDefault="00C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VND</w:t>
            </w:r>
          </w:p>
        </w:tc>
        <w:tc>
          <w:tcPr>
            <w:tcW w:w="227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4FEEBC" w14:textId="77777777" w:rsidR="00B463E6" w:rsidRDefault="00C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1,927,680,936</w:t>
            </w:r>
          </w:p>
        </w:tc>
      </w:tr>
      <w:tr w:rsidR="00B463E6" w14:paraId="672954A0" w14:textId="77777777">
        <w:tc>
          <w:tcPr>
            <w:tcW w:w="575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592CD3" w14:textId="77777777" w:rsidR="00B463E6" w:rsidRDefault="00C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 Charter capital: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19935D" w14:textId="77777777" w:rsidR="00B463E6" w:rsidRDefault="00C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VND</w:t>
            </w:r>
          </w:p>
        </w:tc>
        <w:tc>
          <w:tcPr>
            <w:tcW w:w="227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37223E" w14:textId="77777777" w:rsidR="00B463E6" w:rsidRDefault="00C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14,400,000,000</w:t>
            </w:r>
          </w:p>
        </w:tc>
      </w:tr>
      <w:tr w:rsidR="00B463E6" w14:paraId="51374B18" w14:textId="77777777">
        <w:tc>
          <w:tcPr>
            <w:tcW w:w="575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A06F7E" w14:textId="77777777" w:rsidR="00B463E6" w:rsidRDefault="00C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 Dividend rate (per year)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E207CC" w14:textId="77777777" w:rsidR="00B463E6" w:rsidRDefault="00C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%</w:t>
            </w:r>
          </w:p>
        </w:tc>
        <w:tc>
          <w:tcPr>
            <w:tcW w:w="227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51DA7A" w14:textId="77777777" w:rsidR="00B463E6" w:rsidRDefault="00C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</w:t>
            </w:r>
          </w:p>
        </w:tc>
      </w:tr>
      <w:tr w:rsidR="00B463E6" w14:paraId="00F6B79A" w14:textId="77777777">
        <w:tc>
          <w:tcPr>
            <w:tcW w:w="575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48AA37" w14:textId="77777777" w:rsidR="00B463E6" w:rsidRDefault="00C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 Profit for dividend payment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B6D94B" w14:textId="77777777" w:rsidR="00B463E6" w:rsidRDefault="00C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VND</w:t>
            </w:r>
          </w:p>
        </w:tc>
        <w:tc>
          <w:tcPr>
            <w:tcW w:w="227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BAFFDD" w14:textId="77777777" w:rsidR="00B463E6" w:rsidRDefault="00C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1,440,000,000</w:t>
            </w:r>
          </w:p>
        </w:tc>
      </w:tr>
      <w:tr w:rsidR="00B463E6" w14:paraId="6E8BC030" w14:textId="77777777">
        <w:tc>
          <w:tcPr>
            <w:tcW w:w="575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EE3B28" w14:textId="77777777" w:rsidR="00B463E6" w:rsidRDefault="00C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Retained undistributed profit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602774" w14:textId="77777777" w:rsidR="00B463E6" w:rsidRDefault="00C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VND</w:t>
            </w:r>
          </w:p>
        </w:tc>
        <w:tc>
          <w:tcPr>
            <w:tcW w:w="227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D65BC7" w14:textId="77777777" w:rsidR="00B463E6" w:rsidRDefault="00C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487,680,936</w:t>
            </w:r>
          </w:p>
        </w:tc>
      </w:tr>
    </w:tbl>
    <w:p w14:paraId="0258E056" w14:textId="77777777" w:rsidR="00B463E6" w:rsidRDefault="00C13B1A" w:rsidP="000D0383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Total retained undistributed profits in 2022 and 2023:</w:t>
      </w:r>
    </w:p>
    <w:p w14:paraId="26A2F020" w14:textId="77777777" w:rsidR="00B463E6" w:rsidRDefault="00C13B1A" w:rsidP="000D0383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VND 1,878,472,485 + VND 487, 680,936 = VND 2,366,153,421.</w:t>
      </w:r>
    </w:p>
    <w:p w14:paraId="53E2CDE6" w14:textId="77777777" w:rsidR="00B463E6" w:rsidRDefault="00C13B1A" w:rsidP="000D0383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‎‎Article 7. Approve the Proposal on the remuneration, bonus, and operational budget of the Board of Directors and the Supervisory Board.</w:t>
      </w:r>
    </w:p>
    <w:p w14:paraId="3F01CBF8" w14:textId="77777777" w:rsidR="00B463E6" w:rsidRDefault="00C13B1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93"/>
          <w:tab w:val="left" w:pos="54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Total remuneration:</w:t>
      </w:r>
    </w:p>
    <w:tbl>
      <w:tblPr>
        <w:tblStyle w:val="a4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78"/>
        <w:gridCol w:w="3213"/>
        <w:gridCol w:w="3226"/>
      </w:tblGrid>
      <w:tr w:rsidR="00B463E6" w14:paraId="4B8AD8E7" w14:textId="77777777">
        <w:tc>
          <w:tcPr>
            <w:tcW w:w="257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FAB3A6" w14:textId="77777777" w:rsidR="00B463E6" w:rsidRDefault="00C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Total remuneration:</w:t>
            </w:r>
          </w:p>
        </w:tc>
        <w:tc>
          <w:tcPr>
            <w:tcW w:w="321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CAB6E1" w14:textId="77777777" w:rsidR="00B463E6" w:rsidRDefault="00C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Report on remuneration 2023 (VND)</w:t>
            </w:r>
          </w:p>
        </w:tc>
        <w:tc>
          <w:tcPr>
            <w:tcW w:w="322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D6ABD5" w14:textId="77777777" w:rsidR="00B463E6" w:rsidRDefault="00C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Proposal for remuneration 2024 (VND)</w:t>
            </w:r>
          </w:p>
        </w:tc>
      </w:tr>
      <w:tr w:rsidR="00B463E6" w14:paraId="28AC1FB4" w14:textId="77777777">
        <w:tc>
          <w:tcPr>
            <w:tcW w:w="257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AFFD8C" w14:textId="77777777" w:rsidR="00B463E6" w:rsidRDefault="00C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The Board of Directors</w:t>
            </w:r>
          </w:p>
        </w:tc>
        <w:tc>
          <w:tcPr>
            <w:tcW w:w="321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9E9F5B" w14:textId="77777777" w:rsidR="00B463E6" w:rsidRDefault="00C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72,000,000</w:t>
            </w:r>
          </w:p>
        </w:tc>
        <w:tc>
          <w:tcPr>
            <w:tcW w:w="322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542214" w14:textId="77777777" w:rsidR="00B463E6" w:rsidRDefault="00C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72,000,000</w:t>
            </w:r>
          </w:p>
        </w:tc>
      </w:tr>
      <w:tr w:rsidR="00B463E6" w14:paraId="56270E4B" w14:textId="77777777">
        <w:tc>
          <w:tcPr>
            <w:tcW w:w="257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48FCFA" w14:textId="77777777" w:rsidR="00B463E6" w:rsidRDefault="00C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The Supervisory Board</w:t>
            </w:r>
          </w:p>
        </w:tc>
        <w:tc>
          <w:tcPr>
            <w:tcW w:w="321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1DF2B1" w14:textId="77777777" w:rsidR="00B463E6" w:rsidRDefault="00C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36,000,000</w:t>
            </w:r>
          </w:p>
        </w:tc>
        <w:tc>
          <w:tcPr>
            <w:tcW w:w="322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F42B1E" w14:textId="77777777" w:rsidR="00B463E6" w:rsidRDefault="00C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36,000,000</w:t>
            </w:r>
          </w:p>
        </w:tc>
      </w:tr>
      <w:tr w:rsidR="00B463E6" w14:paraId="78F7145D" w14:textId="77777777">
        <w:tc>
          <w:tcPr>
            <w:tcW w:w="257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5C23F2" w14:textId="77777777" w:rsidR="00B463E6" w:rsidRDefault="00C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Total</w:t>
            </w:r>
          </w:p>
        </w:tc>
        <w:tc>
          <w:tcPr>
            <w:tcW w:w="321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DBC670" w14:textId="77777777" w:rsidR="00B463E6" w:rsidRDefault="00C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108,000,000</w:t>
            </w:r>
          </w:p>
        </w:tc>
        <w:tc>
          <w:tcPr>
            <w:tcW w:w="322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58BA7D" w14:textId="77777777" w:rsidR="00B463E6" w:rsidRDefault="00C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108,000,000</w:t>
            </w:r>
          </w:p>
        </w:tc>
      </w:tr>
    </w:tbl>
    <w:p w14:paraId="39D53483" w14:textId="77777777" w:rsidR="00B463E6" w:rsidRDefault="00C13B1A" w:rsidP="000D038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12"/>
          <w:tab w:val="left" w:pos="54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Bonuses:</w:t>
      </w:r>
    </w:p>
    <w:p w14:paraId="434C61D4" w14:textId="77777777" w:rsidR="00B463E6" w:rsidRDefault="00C13B1A" w:rsidP="000D03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94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The bonuses for the Board of Directors and the Supervisory Board will not exceed 10% of the increased profit realized in 2023 compared to the profit plan 2023.</w:t>
      </w:r>
    </w:p>
    <w:p w14:paraId="6451CC7E" w14:textId="175389B3" w:rsidR="00B463E6" w:rsidRDefault="00C13B1A" w:rsidP="000D03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56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The General Meeting </w:t>
      </w:r>
      <w:bookmarkStart w:id="0" w:name="_GoBack"/>
      <w:bookmarkEnd w:id="0"/>
      <w:r>
        <w:rPr>
          <w:rFonts w:ascii="Arial" w:hAnsi="Arial"/>
          <w:color w:val="010000"/>
          <w:sz w:val="20"/>
        </w:rPr>
        <w:t>authorizes the Board of Directors to decide.</w:t>
      </w:r>
    </w:p>
    <w:p w14:paraId="311EECBE" w14:textId="77777777" w:rsidR="00B463E6" w:rsidRDefault="00C13B1A" w:rsidP="000D038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12"/>
          <w:tab w:val="left" w:pos="54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Operational budget:</w:t>
      </w:r>
    </w:p>
    <w:p w14:paraId="0A6D0F3E" w14:textId="5E12EE79" w:rsidR="00B463E6" w:rsidRDefault="00C13B1A" w:rsidP="000D0383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Members of the Board of Directors and the Supervisory Board are paid reasonable expenses arising from the activities of the Board of Directors and Supervisory Board </w:t>
      </w:r>
      <w:r w:rsidR="000D0383">
        <w:rPr>
          <w:rFonts w:ascii="Arial" w:hAnsi="Arial"/>
          <w:color w:val="010000"/>
          <w:sz w:val="20"/>
        </w:rPr>
        <w:t>as per</w:t>
      </w:r>
      <w:r>
        <w:rPr>
          <w:rFonts w:ascii="Arial" w:hAnsi="Arial"/>
          <w:color w:val="010000"/>
          <w:sz w:val="20"/>
        </w:rPr>
        <w:t xml:space="preserve"> regulations and the Company's Charter.</w:t>
      </w:r>
    </w:p>
    <w:p w14:paraId="14EE6550" w14:textId="77777777" w:rsidR="00B463E6" w:rsidRDefault="00C13B1A" w:rsidP="000D0383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‎‎Article 8. Approve the Report of the Supervisory Board in 2023</w:t>
      </w:r>
    </w:p>
    <w:p w14:paraId="18B172D9" w14:textId="77777777" w:rsidR="00B463E6" w:rsidRDefault="00C13B1A" w:rsidP="000D0383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lastRenderedPageBreak/>
        <w:t>‎‎Article 9. Approve the Proposal on the selection of an independent audit company to audit the Financial Statements 2024.</w:t>
      </w:r>
    </w:p>
    <w:p w14:paraId="6A8FBEEE" w14:textId="77777777" w:rsidR="00B463E6" w:rsidRDefault="00C13B1A" w:rsidP="000D0383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‎‎Article 10. Approve the Proposal for the Plan to continue extending the Contract Appendix of the Capital Contribution Contract to upgrade and renovate the warehouse for digital business: 01/09/HD-GVKD, signed on February 23, 2002</w:t>
      </w:r>
    </w:p>
    <w:p w14:paraId="279C90F8" w14:textId="77777777" w:rsidR="00B463E6" w:rsidRDefault="00C13B1A" w:rsidP="000D0383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‎‎Article 11. Terms of enforcement</w:t>
      </w:r>
    </w:p>
    <w:p w14:paraId="3C725223" w14:textId="13B1F8C6" w:rsidR="00B463E6" w:rsidRDefault="00C13B1A" w:rsidP="000D0383">
      <w:pPr>
        <w:tabs>
          <w:tab w:val="left" w:pos="54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This General Mandate was approved by the Annual General Meeting 2024 of Ha </w:t>
      </w:r>
      <w:proofErr w:type="spellStart"/>
      <w:r>
        <w:rPr>
          <w:rFonts w:ascii="Arial" w:hAnsi="Arial"/>
          <w:color w:val="010000"/>
          <w:sz w:val="20"/>
        </w:rPr>
        <w:t>Noi</w:t>
      </w:r>
      <w:proofErr w:type="spellEnd"/>
      <w:r>
        <w:rPr>
          <w:rFonts w:ascii="Arial" w:hAnsi="Arial"/>
          <w:color w:val="010000"/>
          <w:sz w:val="20"/>
        </w:rPr>
        <w:t xml:space="preserve"> Goods services and transport Joint Stock Company and takes effect from the date of its signing.</w:t>
      </w:r>
    </w:p>
    <w:sectPr w:rsidR="00B463E6">
      <w:pgSz w:w="11907" w:h="16839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ptos Display">
    <w:panose1 w:val="00000000000000000000"/>
    <w:charset w:val="00"/>
    <w:family w:val="roman"/>
    <w:notTrueType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to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53919"/>
    <w:multiLevelType w:val="multilevel"/>
    <w:tmpl w:val="532C50D2"/>
    <w:lvl w:ilvl="0">
      <w:start w:val="7"/>
      <w:numFmt w:val="decimal"/>
      <w:lvlText w:val="%1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768D428C"/>
    <w:multiLevelType w:val="multilevel"/>
    <w:tmpl w:val="85744484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3E6"/>
    <w:rsid w:val="000D0383"/>
    <w:rsid w:val="00B463E6"/>
    <w:rsid w:val="00C1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6F927"/>
  <w15:docId w15:val="{33ABF212-A54A-456E-959C-5328349DA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0">
    <w:name w:val="Heading #1_"/>
    <w:basedOn w:val="DefaultParagraphFont"/>
    <w:link w:val="Heading11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6">
    <w:name w:val="Body text (6)_"/>
    <w:basedOn w:val="DefaultParagraphFont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color w:val="BF8899"/>
      <w:sz w:val="15"/>
      <w:szCs w:val="15"/>
      <w:u w:val="none"/>
    </w:rPr>
  </w:style>
  <w:style w:type="character" w:customStyle="1" w:styleId="Bodytext7">
    <w:name w:val="Body text (7)_"/>
    <w:basedOn w:val="DefaultParagraphFont"/>
    <w:link w:val="Bodytext70"/>
    <w:rPr>
      <w:rFonts w:ascii="Arial" w:eastAsia="Arial" w:hAnsi="Arial" w:cs="Arial"/>
      <w:b/>
      <w:bCs/>
      <w:i w:val="0"/>
      <w:iCs w:val="0"/>
      <w:smallCaps w:val="0"/>
      <w:strike w:val="0"/>
      <w:color w:val="BF8899"/>
      <w:sz w:val="20"/>
      <w:szCs w:val="20"/>
      <w:u w:val="none"/>
    </w:rPr>
  </w:style>
  <w:style w:type="character" w:customStyle="1" w:styleId="Tableofcontents">
    <w:name w:val="Table of contents_"/>
    <w:basedOn w:val="DefaultParagraphFont"/>
    <w:link w:val="Tableofcontent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Bodytext20">
    <w:name w:val="Body text (2)"/>
    <w:basedOn w:val="Normal"/>
    <w:link w:val="Bodytext2"/>
    <w:qFormat/>
    <w:pPr>
      <w:spacing w:line="329" w:lineRule="auto"/>
      <w:ind w:firstLine="520"/>
    </w:pPr>
    <w:rPr>
      <w:rFonts w:ascii="Times New Roman" w:eastAsia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pPr>
      <w:spacing w:line="269" w:lineRule="auto"/>
      <w:ind w:firstLine="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sz w:val="26"/>
      <w:szCs w:val="26"/>
    </w:rPr>
  </w:style>
  <w:style w:type="paragraph" w:customStyle="1" w:styleId="Other0">
    <w:name w:val="Other"/>
    <w:basedOn w:val="Normal"/>
    <w:link w:val="Other"/>
    <w:pPr>
      <w:spacing w:line="269" w:lineRule="auto"/>
      <w:ind w:firstLine="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1">
    <w:name w:val="Heading #1"/>
    <w:basedOn w:val="Normal"/>
    <w:link w:val="Heading10"/>
    <w:pPr>
      <w:outlineLvl w:val="0"/>
    </w:pPr>
    <w:rPr>
      <w:rFonts w:ascii="Arial" w:eastAsia="Arial" w:hAnsi="Arial" w:cs="Arial"/>
      <w:sz w:val="28"/>
      <w:szCs w:val="28"/>
    </w:rPr>
  </w:style>
  <w:style w:type="paragraph" w:customStyle="1" w:styleId="Bodytext50">
    <w:name w:val="Body text (5)"/>
    <w:basedOn w:val="Normal"/>
    <w:link w:val="Bodytext5"/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Bodytext60">
    <w:name w:val="Body text (6)"/>
    <w:basedOn w:val="Normal"/>
    <w:link w:val="Bodytext6"/>
    <w:pPr>
      <w:spacing w:line="360" w:lineRule="auto"/>
    </w:pPr>
    <w:rPr>
      <w:rFonts w:ascii="Arial" w:eastAsia="Arial" w:hAnsi="Arial" w:cs="Arial"/>
      <w:color w:val="BF8899"/>
      <w:sz w:val="15"/>
      <w:szCs w:val="15"/>
    </w:rPr>
  </w:style>
  <w:style w:type="paragraph" w:customStyle="1" w:styleId="Bodytext70">
    <w:name w:val="Body text (7)"/>
    <w:basedOn w:val="Normal"/>
    <w:link w:val="Bodytext7"/>
    <w:pPr>
      <w:jc w:val="right"/>
    </w:pPr>
    <w:rPr>
      <w:rFonts w:ascii="Arial" w:eastAsia="Arial" w:hAnsi="Arial" w:cs="Arial"/>
      <w:b/>
      <w:bCs/>
      <w:color w:val="BF8899"/>
      <w:sz w:val="20"/>
      <w:szCs w:val="20"/>
    </w:rPr>
  </w:style>
  <w:style w:type="paragraph" w:customStyle="1" w:styleId="Tableofcontents0">
    <w:name w:val="Table of contents"/>
    <w:basedOn w:val="Normal"/>
    <w:link w:val="Tableofcontents"/>
    <w:pPr>
      <w:spacing w:line="302" w:lineRule="auto"/>
    </w:pPr>
    <w:rPr>
      <w:rFonts w:ascii="Times New Roman" w:eastAsia="Times New Roman" w:hAnsi="Times New Roman" w:cs="Times New Roman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sbabJhM/4UElgw6rq3mGDoeHGVw==">CgMxLjA4AHIhMW5XYWZsWHQzdzY5cnpCdnQxQnpjZjdrSWcxel9sRkF4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2024-05-03T09:58:00Z</dcterms:created>
  <dcterms:modified xsi:type="dcterms:W3CDTF">2024-05-03T09:58:00Z</dcterms:modified>
</cp:coreProperties>
</file>