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1016B" w14:textId="77777777" w:rsidR="00E80EDE" w:rsidRPr="00C3740A" w:rsidRDefault="00C3740A" w:rsidP="007D6B4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3740A">
        <w:rPr>
          <w:rFonts w:ascii="Arial" w:hAnsi="Arial" w:cs="Arial"/>
          <w:b/>
          <w:color w:val="010000"/>
          <w:sz w:val="20"/>
          <w:szCs w:val="20"/>
        </w:rPr>
        <w:t>HNP: Annual General Mandate 2024</w:t>
      </w:r>
    </w:p>
    <w:p w14:paraId="74203D89" w14:textId="77777777" w:rsidR="00E80EDE" w:rsidRPr="00C3740A" w:rsidRDefault="00C3740A" w:rsidP="007D6B4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740A">
        <w:rPr>
          <w:rFonts w:ascii="Arial" w:hAnsi="Arial" w:cs="Arial"/>
          <w:color w:val="010000"/>
          <w:sz w:val="20"/>
          <w:szCs w:val="20"/>
        </w:rPr>
        <w:t xml:space="preserve">On April 24, 2024, </w:t>
      </w:r>
      <w:proofErr w:type="spellStart"/>
      <w:r w:rsidRPr="00C3740A">
        <w:rPr>
          <w:rFonts w:ascii="Arial" w:hAnsi="Arial" w:cs="Arial"/>
          <w:color w:val="010000"/>
          <w:sz w:val="20"/>
          <w:szCs w:val="20"/>
        </w:rPr>
        <w:t>Hanel</w:t>
      </w:r>
      <w:proofErr w:type="spellEnd"/>
      <w:r w:rsidRPr="00C3740A">
        <w:rPr>
          <w:rFonts w:ascii="Arial" w:hAnsi="Arial" w:cs="Arial"/>
          <w:color w:val="010000"/>
          <w:sz w:val="20"/>
          <w:szCs w:val="20"/>
        </w:rPr>
        <w:t xml:space="preserve"> Plastics Joint Stock Company announced General Mandate No. 01/2024/NQ-DHDCD as follows:</w:t>
      </w:r>
    </w:p>
    <w:p w14:paraId="13E59E8B" w14:textId="282AA717" w:rsidR="00E80EDE" w:rsidRPr="00C3740A" w:rsidRDefault="00C3740A" w:rsidP="007D6B4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740A">
        <w:rPr>
          <w:rFonts w:ascii="Arial" w:hAnsi="Arial" w:cs="Arial"/>
          <w:color w:val="010000"/>
          <w:sz w:val="20"/>
          <w:szCs w:val="20"/>
        </w:rPr>
        <w:t xml:space="preserve">Article 1. Approve the Report on production and </w:t>
      </w:r>
      <w:r w:rsidR="007D6B4D">
        <w:rPr>
          <w:rFonts w:ascii="Arial" w:hAnsi="Arial" w:cs="Arial"/>
          <w:color w:val="010000"/>
          <w:sz w:val="20"/>
          <w:szCs w:val="20"/>
        </w:rPr>
        <w:t>business results in 2023 and</w:t>
      </w:r>
      <w:r w:rsidRPr="00C3740A">
        <w:rPr>
          <w:rFonts w:ascii="Arial" w:hAnsi="Arial" w:cs="Arial"/>
          <w:color w:val="010000"/>
          <w:sz w:val="20"/>
          <w:szCs w:val="20"/>
        </w:rPr>
        <w:t xml:space="preserve"> production and business plan for 2024.</w:t>
      </w:r>
    </w:p>
    <w:p w14:paraId="6AFFF204" w14:textId="77777777" w:rsidR="00E80EDE" w:rsidRPr="00C3740A" w:rsidRDefault="00C3740A" w:rsidP="007D6B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740A">
        <w:rPr>
          <w:rFonts w:ascii="Arial" w:hAnsi="Arial" w:cs="Arial"/>
          <w:color w:val="010000"/>
          <w:sz w:val="20"/>
          <w:szCs w:val="20"/>
        </w:rPr>
        <w:t>Summary of production and business results in 2023:</w:t>
      </w:r>
    </w:p>
    <w:p w14:paraId="77F47424" w14:textId="77777777" w:rsidR="00E80EDE" w:rsidRPr="00C3740A" w:rsidRDefault="00C3740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40A">
        <w:rPr>
          <w:rFonts w:ascii="Arial" w:hAnsi="Arial" w:cs="Arial"/>
          <w:color w:val="010000"/>
          <w:sz w:val="20"/>
          <w:szCs w:val="20"/>
        </w:rPr>
        <w:t>Unit: Million VND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3960"/>
        <w:gridCol w:w="2355"/>
        <w:gridCol w:w="1775"/>
      </w:tblGrid>
      <w:tr w:rsidR="00E80EDE" w:rsidRPr="00C3740A" w14:paraId="067BD826" w14:textId="77777777">
        <w:tc>
          <w:tcPr>
            <w:tcW w:w="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89078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B547C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Target</w:t>
            </w:r>
          </w:p>
        </w:tc>
        <w:tc>
          <w:tcPr>
            <w:tcW w:w="2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513DA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Unit</w:t>
            </w:r>
          </w:p>
        </w:tc>
        <w:tc>
          <w:tcPr>
            <w:tcW w:w="17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7873D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In 2023</w:t>
            </w:r>
          </w:p>
        </w:tc>
      </w:tr>
      <w:tr w:rsidR="00E80EDE" w:rsidRPr="00C3740A" w14:paraId="2E59E302" w14:textId="77777777">
        <w:tc>
          <w:tcPr>
            <w:tcW w:w="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FEAFE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6ED29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Revenue and other income</w:t>
            </w:r>
          </w:p>
        </w:tc>
        <w:tc>
          <w:tcPr>
            <w:tcW w:w="2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52465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7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2231E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311,486</w:t>
            </w:r>
          </w:p>
        </w:tc>
      </w:tr>
      <w:tr w:rsidR="00E80EDE" w:rsidRPr="00C3740A" w14:paraId="434A2BB4" w14:textId="77777777">
        <w:tc>
          <w:tcPr>
            <w:tcW w:w="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6848A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7808A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Profit before tax</w:t>
            </w:r>
          </w:p>
        </w:tc>
        <w:tc>
          <w:tcPr>
            <w:tcW w:w="2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B293E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7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9F3C8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4,073</w:t>
            </w:r>
          </w:p>
        </w:tc>
      </w:tr>
      <w:tr w:rsidR="00E80EDE" w:rsidRPr="00C3740A" w14:paraId="601255D8" w14:textId="77777777">
        <w:tc>
          <w:tcPr>
            <w:tcW w:w="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7B6F63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CD806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2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8145B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7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1A70D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3,030</w:t>
            </w:r>
          </w:p>
        </w:tc>
      </w:tr>
      <w:tr w:rsidR="00E80EDE" w:rsidRPr="00C3740A" w14:paraId="62E4F7AB" w14:textId="77777777">
        <w:tc>
          <w:tcPr>
            <w:tcW w:w="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41B2F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3B125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Depreciation of fixed assets</w:t>
            </w:r>
          </w:p>
        </w:tc>
        <w:tc>
          <w:tcPr>
            <w:tcW w:w="2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F8E77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7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943A5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12,746</w:t>
            </w:r>
          </w:p>
        </w:tc>
      </w:tr>
      <w:tr w:rsidR="00E80EDE" w:rsidRPr="00C3740A" w14:paraId="08592413" w14:textId="77777777">
        <w:tc>
          <w:tcPr>
            <w:tcW w:w="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E3617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DB11A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Payables to the State budget</w:t>
            </w:r>
          </w:p>
        </w:tc>
        <w:tc>
          <w:tcPr>
            <w:tcW w:w="2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FF462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17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F2772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8,328</w:t>
            </w:r>
          </w:p>
        </w:tc>
      </w:tr>
      <w:tr w:rsidR="00E80EDE" w:rsidRPr="00C3740A" w14:paraId="6CA61BDE" w14:textId="77777777">
        <w:tc>
          <w:tcPr>
            <w:tcW w:w="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99058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35695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Number of employees</w:t>
            </w:r>
          </w:p>
        </w:tc>
        <w:tc>
          <w:tcPr>
            <w:tcW w:w="2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D916E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Person</w:t>
            </w:r>
          </w:p>
        </w:tc>
        <w:tc>
          <w:tcPr>
            <w:tcW w:w="17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11A2E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352</w:t>
            </w:r>
          </w:p>
        </w:tc>
      </w:tr>
      <w:tr w:rsidR="00E80EDE" w:rsidRPr="00C3740A" w14:paraId="4412B182" w14:textId="77777777">
        <w:tc>
          <w:tcPr>
            <w:tcW w:w="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80697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19AE8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Average income</w:t>
            </w:r>
          </w:p>
        </w:tc>
        <w:tc>
          <w:tcPr>
            <w:tcW w:w="2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09E21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Million VND/month.</w:t>
            </w:r>
          </w:p>
        </w:tc>
        <w:tc>
          <w:tcPr>
            <w:tcW w:w="17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F4EE5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11.2</w:t>
            </w:r>
          </w:p>
        </w:tc>
      </w:tr>
      <w:tr w:rsidR="00E80EDE" w:rsidRPr="00C3740A" w14:paraId="3C64109E" w14:textId="77777777">
        <w:tc>
          <w:tcPr>
            <w:tcW w:w="9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0AE0E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8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22329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Dividend payment</w:t>
            </w:r>
          </w:p>
        </w:tc>
        <w:tc>
          <w:tcPr>
            <w:tcW w:w="2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B87BB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%</w:t>
            </w:r>
          </w:p>
        </w:tc>
        <w:tc>
          <w:tcPr>
            <w:tcW w:w="17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2CE60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5%</w:t>
            </w:r>
          </w:p>
        </w:tc>
      </w:tr>
    </w:tbl>
    <w:p w14:paraId="65DE4BC5" w14:textId="77777777" w:rsidR="00E80EDE" w:rsidRPr="00C3740A" w:rsidRDefault="00C37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40A">
        <w:rPr>
          <w:rFonts w:ascii="Arial" w:hAnsi="Arial" w:cs="Arial"/>
          <w:color w:val="010000"/>
          <w:sz w:val="20"/>
          <w:szCs w:val="20"/>
        </w:rPr>
        <w:t>Summary of production and business plan for 2024:</w:t>
      </w:r>
    </w:p>
    <w:p w14:paraId="1C0DC49F" w14:textId="77777777" w:rsidR="00E80EDE" w:rsidRPr="00C3740A" w:rsidRDefault="00C3740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40A">
        <w:rPr>
          <w:rFonts w:ascii="Arial" w:hAnsi="Arial" w:cs="Arial"/>
          <w:color w:val="010000"/>
          <w:sz w:val="20"/>
          <w:szCs w:val="20"/>
        </w:rPr>
        <w:t>Unit: Million VND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2830"/>
        <w:gridCol w:w="1594"/>
        <w:gridCol w:w="1818"/>
        <w:gridCol w:w="1807"/>
      </w:tblGrid>
      <w:tr w:rsidR="00E80EDE" w:rsidRPr="00C3740A" w14:paraId="593ACF2C" w14:textId="77777777"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CCB7F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7A8C4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Target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25B0C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 xml:space="preserve">Results 2023 </w:t>
            </w:r>
          </w:p>
        </w:tc>
        <w:tc>
          <w:tcPr>
            <w:tcW w:w="18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9B87CA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sz w:val="20"/>
                <w:szCs w:val="20"/>
              </w:rPr>
              <w:t>Plan 2024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54593" w14:textId="787E63A6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 xml:space="preserve">Comparison 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between</w:t>
            </w: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 xml:space="preserve"> plan 2024 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and r</w:t>
            </w: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esult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s</w:t>
            </w: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 xml:space="preserve"> 2023 </w:t>
            </w:r>
          </w:p>
        </w:tc>
      </w:tr>
      <w:tr w:rsidR="00E80EDE" w:rsidRPr="00C3740A" w14:paraId="07ADC805" w14:textId="77777777"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AC2B8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CF0B9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Revenue and other income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BC7EB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311,486</w:t>
            </w:r>
          </w:p>
        </w:tc>
        <w:tc>
          <w:tcPr>
            <w:tcW w:w="18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14CA0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328,000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57030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105.3%</w:t>
            </w:r>
          </w:p>
        </w:tc>
      </w:tr>
      <w:tr w:rsidR="00E80EDE" w:rsidRPr="00C3740A" w14:paraId="0C2B7039" w14:textId="77777777"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F0E7B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B5408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Profit before tax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39E76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4,073</w:t>
            </w:r>
          </w:p>
        </w:tc>
        <w:tc>
          <w:tcPr>
            <w:tcW w:w="18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2C98A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5,350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AA792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131.4%</w:t>
            </w:r>
          </w:p>
        </w:tc>
      </w:tr>
      <w:tr w:rsidR="00E80EDE" w:rsidRPr="00C3740A" w14:paraId="7A51A370" w14:textId="77777777"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CE8A3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59C51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AA6DE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3,030</w:t>
            </w:r>
          </w:p>
        </w:tc>
        <w:tc>
          <w:tcPr>
            <w:tcW w:w="18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06B83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3,999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96AC3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132.0%</w:t>
            </w:r>
          </w:p>
        </w:tc>
      </w:tr>
      <w:tr w:rsidR="00E80EDE" w:rsidRPr="00C3740A" w14:paraId="0A96A30A" w14:textId="77777777"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7EF68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83C07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Depreciation of fixed assets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3AAD1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12,746</w:t>
            </w:r>
          </w:p>
        </w:tc>
        <w:tc>
          <w:tcPr>
            <w:tcW w:w="18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CD857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11,325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42EDC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88.9%</w:t>
            </w:r>
          </w:p>
        </w:tc>
      </w:tr>
      <w:tr w:rsidR="00E80EDE" w:rsidRPr="00C3740A" w14:paraId="390B356B" w14:textId="77777777"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96683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E8C0E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Payables to the State budget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FAE1B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8,328</w:t>
            </w:r>
          </w:p>
        </w:tc>
        <w:tc>
          <w:tcPr>
            <w:tcW w:w="18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B7246A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8,500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CD1D8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102.1%</w:t>
            </w:r>
          </w:p>
        </w:tc>
      </w:tr>
      <w:tr w:rsidR="00E80EDE" w:rsidRPr="00C3740A" w14:paraId="18176477" w14:textId="77777777"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D1DB6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9D922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Number of employees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BDDAB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352</w:t>
            </w:r>
          </w:p>
        </w:tc>
        <w:tc>
          <w:tcPr>
            <w:tcW w:w="18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3CDAC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350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6368B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99.4%</w:t>
            </w:r>
          </w:p>
        </w:tc>
      </w:tr>
      <w:tr w:rsidR="00E80EDE" w:rsidRPr="00C3740A" w14:paraId="3D4D5149" w14:textId="77777777"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5E758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90B10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Average income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A3477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11.2</w:t>
            </w:r>
          </w:p>
        </w:tc>
        <w:tc>
          <w:tcPr>
            <w:tcW w:w="18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B6FEE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11.8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1C7DE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105.4%</w:t>
            </w:r>
          </w:p>
        </w:tc>
      </w:tr>
      <w:tr w:rsidR="00E80EDE" w:rsidRPr="00C3740A" w14:paraId="2CDA7390" w14:textId="77777777"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43BDA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8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90E56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Dividend payment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7C18D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5%</w:t>
            </w:r>
          </w:p>
        </w:tc>
        <w:tc>
          <w:tcPr>
            <w:tcW w:w="18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8FC91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6%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DFEF3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120.0%</w:t>
            </w:r>
          </w:p>
        </w:tc>
      </w:tr>
    </w:tbl>
    <w:p w14:paraId="5390397F" w14:textId="77777777" w:rsidR="00E80EDE" w:rsidRPr="00C3740A" w:rsidRDefault="00C3740A" w:rsidP="007D6B4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740A">
        <w:rPr>
          <w:rFonts w:ascii="Arial" w:hAnsi="Arial" w:cs="Arial"/>
          <w:color w:val="010000"/>
          <w:sz w:val="20"/>
          <w:szCs w:val="20"/>
        </w:rPr>
        <w:t>‎‎Article 2. Approve the Report of the Board of Directors of the company in 2023 at the Annual General Meeting of Shareholders 2024</w:t>
      </w:r>
    </w:p>
    <w:p w14:paraId="5EFAA356" w14:textId="0758EA50" w:rsidR="00E80EDE" w:rsidRPr="00C3740A" w:rsidRDefault="00C3740A" w:rsidP="007D6B4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740A">
        <w:rPr>
          <w:rFonts w:ascii="Arial" w:hAnsi="Arial" w:cs="Arial"/>
          <w:color w:val="010000"/>
          <w:sz w:val="20"/>
          <w:szCs w:val="20"/>
        </w:rPr>
        <w:lastRenderedPageBreak/>
        <w:t>Article 3. Approve Report of the Supervisory Board at the Annual General Meeting 2024</w:t>
      </w:r>
    </w:p>
    <w:p w14:paraId="50591127" w14:textId="77777777" w:rsidR="00E80EDE" w:rsidRPr="00C3740A" w:rsidRDefault="00C3740A" w:rsidP="007D6B4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740A">
        <w:rPr>
          <w:rFonts w:ascii="Arial" w:hAnsi="Arial" w:cs="Arial"/>
          <w:color w:val="010000"/>
          <w:sz w:val="20"/>
          <w:szCs w:val="20"/>
        </w:rPr>
        <w:t>Article 4. Approve the Audited Financial Statements 2023</w:t>
      </w:r>
    </w:p>
    <w:p w14:paraId="03F3E920" w14:textId="77777777" w:rsidR="00E80EDE" w:rsidRPr="00C3740A" w:rsidRDefault="00C3740A" w:rsidP="007D6B4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740A">
        <w:rPr>
          <w:rFonts w:ascii="Arial" w:hAnsi="Arial" w:cs="Arial"/>
          <w:color w:val="010000"/>
          <w:sz w:val="20"/>
          <w:szCs w:val="20"/>
        </w:rPr>
        <w:t>Article 5. Approve the selection of an audit company in 2024.</w:t>
      </w:r>
    </w:p>
    <w:p w14:paraId="3F432FF1" w14:textId="77777777" w:rsidR="00E80EDE" w:rsidRPr="00C3740A" w:rsidRDefault="00C3740A" w:rsidP="007D6B4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740A">
        <w:rPr>
          <w:rFonts w:ascii="Arial" w:hAnsi="Arial" w:cs="Arial"/>
          <w:color w:val="010000"/>
          <w:sz w:val="20"/>
          <w:szCs w:val="20"/>
        </w:rPr>
        <w:t>Article 6. Approve the profit distribution plan, dividend payment in 2023, remuneration plan for the Board of Directors and Supervisory Board in 2024, dividend payment plan for 2024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111"/>
        <w:gridCol w:w="907"/>
        <w:gridCol w:w="1695"/>
        <w:gridCol w:w="1650"/>
      </w:tblGrid>
      <w:tr w:rsidR="00E80EDE" w:rsidRPr="00C3740A" w14:paraId="57074730" w14:textId="77777777">
        <w:tc>
          <w:tcPr>
            <w:tcW w:w="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2F6B0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E7204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Target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8C026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Unit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02A39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Amount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0C44C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Note</w:t>
            </w:r>
          </w:p>
        </w:tc>
      </w:tr>
      <w:tr w:rsidR="00E80EDE" w:rsidRPr="00C3740A" w14:paraId="22C5153C" w14:textId="77777777">
        <w:tc>
          <w:tcPr>
            <w:tcW w:w="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2E363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A3CD6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Total accounting profit before tax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C987C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VND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2B679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4,072,703,119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6F0950" w14:textId="77777777" w:rsidR="00E80EDE" w:rsidRPr="00C3740A" w:rsidRDefault="00E80EDE">
            <w:pP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80EDE" w:rsidRPr="00C3740A" w14:paraId="008AA410" w14:textId="77777777">
        <w:tc>
          <w:tcPr>
            <w:tcW w:w="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C6A19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F2FFA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Corporate income tax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05D11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VND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F2773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1,042,559,062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92B30" w14:textId="77777777" w:rsidR="00E80EDE" w:rsidRPr="00C3740A" w:rsidRDefault="00E80EDE">
            <w:pP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80EDE" w:rsidRPr="00C3740A" w14:paraId="7F7BFB61" w14:textId="77777777">
        <w:tc>
          <w:tcPr>
            <w:tcW w:w="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4A232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F54B2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Undistributed profit after tax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1119F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VND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DDC40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3,444,272,082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754C5" w14:textId="77777777" w:rsidR="00E80EDE" w:rsidRPr="00C3740A" w:rsidRDefault="00E80EDE">
            <w:pP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80EDE" w:rsidRPr="00C3740A" w14:paraId="1077715A" w14:textId="77777777">
        <w:tc>
          <w:tcPr>
            <w:tcW w:w="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7B511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3.1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A3EB1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Undistributed profit after tax accumulated until the end of the previous year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3ED43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VND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1D89E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414,128,025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FDE7E" w14:textId="77777777" w:rsidR="00E80EDE" w:rsidRPr="00C3740A" w:rsidRDefault="00E80EDE">
            <w:pP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80EDE" w:rsidRPr="00C3740A" w14:paraId="1064A0E3" w14:textId="77777777">
        <w:tc>
          <w:tcPr>
            <w:tcW w:w="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43A8C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3.2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6F72F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Undistributed profit after tax of this year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5963F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VND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1D65D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3,030,144,057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981C7" w14:textId="77777777" w:rsidR="00E80EDE" w:rsidRPr="00C3740A" w:rsidRDefault="00E80EDE">
            <w:pP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80EDE" w:rsidRPr="00C3740A" w14:paraId="294B07D4" w14:textId="77777777">
        <w:tc>
          <w:tcPr>
            <w:tcW w:w="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CE606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171E8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Profit to distribute funds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BC9B0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VND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05613F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606,028,812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06E7A" w14:textId="77777777" w:rsidR="00E80EDE" w:rsidRPr="00C3740A" w:rsidRDefault="00E80EDE">
            <w:pP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80EDE" w:rsidRPr="00C3740A" w14:paraId="216B1294" w14:textId="77777777">
        <w:tc>
          <w:tcPr>
            <w:tcW w:w="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80AC3" w14:textId="77777777" w:rsidR="00E80EDE" w:rsidRPr="00C3740A" w:rsidRDefault="00E80EDE">
            <w:pP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19DE7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- Investment and development fund.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37032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VND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420BA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303,014,406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8755B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10% of Profit after tax in 2023</w:t>
            </w:r>
          </w:p>
        </w:tc>
      </w:tr>
      <w:tr w:rsidR="00E80EDE" w:rsidRPr="00C3740A" w14:paraId="08D4213F" w14:textId="77777777">
        <w:tc>
          <w:tcPr>
            <w:tcW w:w="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48E9C" w14:textId="77777777" w:rsidR="00E80EDE" w:rsidRPr="00C3740A" w:rsidRDefault="00E80EDE">
            <w:pP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FBE27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- Bonus fund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EC2F3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VND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9A384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151,507,203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2E47B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5% of Profit after tax in 2023</w:t>
            </w:r>
          </w:p>
        </w:tc>
      </w:tr>
      <w:tr w:rsidR="00E80EDE" w:rsidRPr="00C3740A" w14:paraId="543C80E0" w14:textId="77777777">
        <w:tc>
          <w:tcPr>
            <w:tcW w:w="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C2A5A" w14:textId="77777777" w:rsidR="00E80EDE" w:rsidRPr="00C3740A" w:rsidRDefault="00E80EDE">
            <w:pP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1AEF0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- Welfare fund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10AC6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VND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722C0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151,507,203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CEAE8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5% of Profit after tax in 2023</w:t>
            </w:r>
          </w:p>
        </w:tc>
      </w:tr>
      <w:tr w:rsidR="00E80EDE" w:rsidRPr="00C3740A" w14:paraId="3A4D13E3" w14:textId="77777777">
        <w:tc>
          <w:tcPr>
            <w:tcW w:w="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8ECDD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3ABCF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Dividend payment 2023</w:t>
            </w:r>
          </w:p>
          <w:p w14:paraId="66B2EFA6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(has implemented an prepayment with the dividend rate of 5% from February 2, 2024)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0B022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VND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1F9B8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2,500,000,000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5DAF1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Rate 5%</w:t>
            </w:r>
          </w:p>
        </w:tc>
      </w:tr>
      <w:tr w:rsidR="00E80EDE" w:rsidRPr="00C3740A" w14:paraId="43ADE6AF" w14:textId="77777777">
        <w:tc>
          <w:tcPr>
            <w:tcW w:w="6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0B81E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429C5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Remaining undistributed profits transferred to next year (6) = (3)-(4)-(5)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3405C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VND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8E271" w14:textId="77777777" w:rsidR="00E80EDE" w:rsidRPr="00C3740A" w:rsidRDefault="00C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740A">
              <w:rPr>
                <w:rFonts w:ascii="Arial" w:hAnsi="Arial" w:cs="Arial"/>
                <w:color w:val="010000"/>
                <w:sz w:val="20"/>
                <w:szCs w:val="20"/>
              </w:rPr>
              <w:t>338,243,270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3B46F" w14:textId="77777777" w:rsidR="00E80EDE" w:rsidRPr="00C3740A" w:rsidRDefault="00E80EDE">
            <w:pP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17791AF" w14:textId="77777777" w:rsidR="00E80EDE" w:rsidRPr="00C3740A" w:rsidRDefault="00C3740A" w:rsidP="007D6B4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740A">
        <w:rPr>
          <w:rFonts w:ascii="Arial" w:hAnsi="Arial" w:cs="Arial"/>
          <w:color w:val="010000"/>
          <w:sz w:val="20"/>
          <w:szCs w:val="20"/>
        </w:rPr>
        <w:t>* Dividend payment plan for 2024:</w:t>
      </w:r>
    </w:p>
    <w:p w14:paraId="631C8C56" w14:textId="77777777" w:rsidR="00E80EDE" w:rsidRPr="00C3740A" w:rsidRDefault="00C3740A" w:rsidP="007D6B4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740A">
        <w:rPr>
          <w:rFonts w:ascii="Arial" w:hAnsi="Arial" w:cs="Arial"/>
          <w:color w:val="010000"/>
          <w:sz w:val="20"/>
          <w:szCs w:val="20"/>
        </w:rPr>
        <w:t>Based on the expected production and business plan 2024, the Board of Directors proposes to pay dividends in 2024 at a rate of 6%.</w:t>
      </w:r>
    </w:p>
    <w:p w14:paraId="5940AE10" w14:textId="77777777" w:rsidR="00E80EDE" w:rsidRPr="00C3740A" w:rsidRDefault="00C3740A" w:rsidP="007D6B4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740A">
        <w:rPr>
          <w:rFonts w:ascii="Arial" w:hAnsi="Arial" w:cs="Arial"/>
          <w:color w:val="010000"/>
          <w:sz w:val="20"/>
          <w:szCs w:val="20"/>
        </w:rPr>
        <w:t>Article 7. Effectiveness of enforcement</w:t>
      </w:r>
    </w:p>
    <w:p w14:paraId="2162738E" w14:textId="77777777" w:rsidR="00E80EDE" w:rsidRPr="00C3740A" w:rsidRDefault="00C3740A" w:rsidP="007D6B4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740A">
        <w:rPr>
          <w:rFonts w:ascii="Arial" w:hAnsi="Arial" w:cs="Arial"/>
          <w:color w:val="010000"/>
          <w:sz w:val="20"/>
          <w:szCs w:val="20"/>
        </w:rPr>
        <w:t>This General Mandate takes effect on the date of its signing.</w:t>
      </w:r>
    </w:p>
    <w:p w14:paraId="58F7DCF6" w14:textId="49D62A4E" w:rsidR="00E80EDE" w:rsidRPr="00C3740A" w:rsidRDefault="00C3740A" w:rsidP="007D6B4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740A">
        <w:rPr>
          <w:rFonts w:ascii="Arial" w:hAnsi="Arial" w:cs="Arial"/>
          <w:color w:val="010000"/>
          <w:sz w:val="20"/>
          <w:szCs w:val="20"/>
        </w:rPr>
        <w:t xml:space="preserve">Members of the Board </w:t>
      </w:r>
      <w:r w:rsidR="007D6B4D">
        <w:rPr>
          <w:rFonts w:ascii="Arial" w:hAnsi="Arial" w:cs="Arial"/>
          <w:color w:val="010000"/>
          <w:sz w:val="20"/>
          <w:szCs w:val="20"/>
        </w:rPr>
        <w:t>of Directors, Supervisory Board</w:t>
      </w:r>
      <w:bookmarkStart w:id="0" w:name="_GoBack"/>
      <w:bookmarkEnd w:id="0"/>
      <w:r w:rsidRPr="00C3740A">
        <w:rPr>
          <w:rFonts w:ascii="Arial" w:hAnsi="Arial" w:cs="Arial"/>
          <w:color w:val="010000"/>
          <w:sz w:val="20"/>
          <w:szCs w:val="20"/>
        </w:rPr>
        <w:t xml:space="preserve"> and </w:t>
      </w:r>
      <w:r w:rsidR="007D6B4D">
        <w:rPr>
          <w:rFonts w:ascii="Arial" w:hAnsi="Arial" w:cs="Arial"/>
          <w:color w:val="010000"/>
          <w:sz w:val="20"/>
          <w:szCs w:val="20"/>
        </w:rPr>
        <w:t>Executive Board</w:t>
      </w:r>
      <w:r w:rsidRPr="00C3740A">
        <w:rPr>
          <w:rFonts w:ascii="Arial" w:hAnsi="Arial" w:cs="Arial"/>
          <w:color w:val="010000"/>
          <w:sz w:val="20"/>
          <w:szCs w:val="20"/>
        </w:rPr>
        <w:t xml:space="preserve"> are responsible for implementing the contents of this General Mandate.</w:t>
      </w:r>
    </w:p>
    <w:sectPr w:rsidR="00E80EDE" w:rsidRPr="00C3740A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0AB5"/>
    <w:multiLevelType w:val="multilevel"/>
    <w:tmpl w:val="037AD6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DE"/>
    <w:rsid w:val="007D6B4D"/>
    <w:rsid w:val="00C3740A"/>
    <w:rsid w:val="00E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3A2F"/>
  <w15:docId w15:val="{95E3FD3D-BD00-4225-AAF3-617EF9E3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B54A62"/>
      <w:w w:val="8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Footnote0">
    <w:name w:val="Footnote"/>
    <w:basedOn w:val="Normal"/>
    <w:link w:val="Footnote"/>
    <w:pPr>
      <w:spacing w:line="266" w:lineRule="auto"/>
      <w:ind w:left="830" w:firstLine="1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14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Heading41">
    <w:name w:val="Heading #4"/>
    <w:basedOn w:val="Normal"/>
    <w:link w:val="Heading40"/>
    <w:pPr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ther0">
    <w:name w:val="Other"/>
    <w:basedOn w:val="Normal"/>
    <w:link w:val="Other"/>
    <w:pPr>
      <w:spacing w:line="314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71" w:lineRule="auto"/>
    </w:pPr>
    <w:rPr>
      <w:rFonts w:ascii="Arial" w:eastAsia="Arial" w:hAnsi="Arial" w:cs="Arial"/>
      <w:b/>
      <w:bCs/>
      <w:color w:val="B54A62"/>
      <w:w w:val="80"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spacing w:line="235" w:lineRule="auto"/>
      <w:ind w:firstLine="360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Heading31">
    <w:name w:val="Heading #3"/>
    <w:basedOn w:val="Normal"/>
    <w:link w:val="Heading30"/>
    <w:pPr>
      <w:jc w:val="center"/>
      <w:outlineLvl w:val="2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Tableofcontents0">
    <w:name w:val="Table of contents"/>
    <w:basedOn w:val="Normal"/>
    <w:link w:val="Tableofcontents"/>
    <w:pPr>
      <w:spacing w:line="338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ind w:firstLine="140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 (5)"/>
    <w:basedOn w:val="Normal"/>
    <w:link w:val="Bodytext5"/>
    <w:pPr>
      <w:ind w:firstLine="190"/>
    </w:pPr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IN5WBsOIUJ584VQC66VyoD4F0Q==">CgMxLjA4AHIhMXZsbXBseXgzVWRXUV9OVDlDTDFWNnpseF90eS1xM0V4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2024-05-03T10:27:00Z</dcterms:created>
  <dcterms:modified xsi:type="dcterms:W3CDTF">2024-05-03T10:27:00Z</dcterms:modified>
</cp:coreProperties>
</file>