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A3312" w:rsidRDefault="00AA32C4" w:rsidP="00D625D1">
      <w:pP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HTE: Annual General Mandate 2024</w:t>
      </w:r>
    </w:p>
    <w:p w14:paraId="00000002" w14:textId="77777777" w:rsidR="000A3312" w:rsidRDefault="00AA32C4" w:rsidP="00D625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23, 2024, Ho Chi Minh City Electric Power Trading Investment Corporation announced General Mandate No. 014/2024/NQ-DHDCD as follows:</w:t>
      </w:r>
    </w:p>
    <w:p w14:paraId="00000003" w14:textId="77777777" w:rsidR="000A3312" w:rsidRDefault="00AA32C4" w:rsidP="00D625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Approve the Report on activities of the Board of Directors in 2023 and the Plan for 2024;</w:t>
      </w:r>
    </w:p>
    <w:p w14:paraId="00000004" w14:textId="77777777" w:rsidR="000A3312" w:rsidRDefault="00AA32C4" w:rsidP="00D625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Report on activities of the Supervisory Board on financial inspection and supervision results in 2023</w:t>
      </w:r>
    </w:p>
    <w:p w14:paraId="00000005" w14:textId="21B720CA" w:rsidR="000A3312" w:rsidRDefault="00AA32C4" w:rsidP="00D625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3: </w:t>
      </w:r>
      <w:r>
        <w:rPr>
          <w:rFonts w:ascii="Arial" w:hAnsi="Arial"/>
          <w:color w:val="010000"/>
          <w:sz w:val="20"/>
        </w:rPr>
        <w:t>Report on Production and Busin</w:t>
      </w:r>
      <w:r>
        <w:rPr>
          <w:rFonts w:ascii="Arial" w:hAnsi="Arial"/>
          <w:color w:val="010000"/>
          <w:sz w:val="20"/>
        </w:rPr>
        <w:t xml:space="preserve">ess Activities 2023 of the </w:t>
      </w:r>
      <w:r w:rsidR="00D625D1">
        <w:rPr>
          <w:rFonts w:ascii="Arial" w:hAnsi="Arial"/>
          <w:color w:val="010000"/>
          <w:sz w:val="20"/>
        </w:rPr>
        <w:t>Executive Board</w:t>
      </w:r>
      <w:r>
        <w:rPr>
          <w:rFonts w:ascii="Arial" w:hAnsi="Arial"/>
          <w:color w:val="010000"/>
          <w:sz w:val="20"/>
        </w:rPr>
        <w:t xml:space="preserve"> and plan for 2024.</w:t>
      </w:r>
    </w:p>
    <w:p w14:paraId="00000006" w14:textId="77777777" w:rsidR="000A3312" w:rsidRDefault="00AA32C4" w:rsidP="00D625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4: </w:t>
      </w:r>
      <w:r>
        <w:rPr>
          <w:rFonts w:ascii="Arial" w:hAnsi="Arial"/>
          <w:color w:val="010000"/>
          <w:sz w:val="20"/>
        </w:rPr>
        <w:t>Approve the Proposal on the Audited separate and consolidated Financial Statements 2023 of the Company.</w:t>
      </w:r>
    </w:p>
    <w:p w14:paraId="00000007" w14:textId="77777777" w:rsidR="000A3312" w:rsidRDefault="00AA32C4" w:rsidP="00D625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5: </w:t>
      </w:r>
      <w:r>
        <w:rPr>
          <w:rFonts w:ascii="Arial" w:hAnsi="Arial"/>
          <w:color w:val="010000"/>
          <w:sz w:val="20"/>
        </w:rPr>
        <w:t>Approve the Proposal on production and business Results 2023; pl</w:t>
      </w:r>
      <w:r>
        <w:rPr>
          <w:rFonts w:ascii="Arial" w:hAnsi="Arial"/>
          <w:color w:val="010000"/>
          <w:sz w:val="20"/>
        </w:rPr>
        <w:t xml:space="preserve">an for appropriation of funds, and dividend distribution plan in 2023 </w:t>
      </w:r>
    </w:p>
    <w:p w14:paraId="00000008" w14:textId="77777777" w:rsidR="000A3312" w:rsidRDefault="00AA32C4" w:rsidP="00D625D1">
      <w:pPr>
        <w:numPr>
          <w:ilvl w:val="0"/>
          <w:numId w:val="7"/>
        </w:numPr>
        <w:pBdr>
          <w:top w:val="nil"/>
          <w:left w:val="nil"/>
          <w:bottom w:val="nil"/>
          <w:right w:val="nil"/>
          <w:between w:val="nil"/>
        </w:pBdr>
        <w:tabs>
          <w:tab w:val="left" w:pos="432"/>
          <w:tab w:val="left" w:pos="653"/>
        </w:tabs>
        <w:spacing w:after="120" w:line="360" w:lineRule="auto"/>
        <w:jc w:val="both"/>
        <w:rPr>
          <w:rFonts w:ascii="Arial" w:eastAsia="Arial" w:hAnsi="Arial" w:cs="Arial"/>
          <w:color w:val="010000"/>
          <w:sz w:val="20"/>
          <w:szCs w:val="20"/>
        </w:rPr>
      </w:pPr>
      <w:r>
        <w:rPr>
          <w:rFonts w:ascii="Arial" w:hAnsi="Arial"/>
          <w:color w:val="010000"/>
          <w:sz w:val="20"/>
        </w:rPr>
        <w:t>Results of production and business activities in 2023:</w:t>
      </w:r>
    </w:p>
    <w:p w14:paraId="00000009" w14:textId="77777777" w:rsidR="000A3312" w:rsidRDefault="00AA32C4" w:rsidP="00D625D1">
      <w:pPr>
        <w:numPr>
          <w:ilvl w:val="0"/>
          <w:numId w:val="6"/>
        </w:numPr>
        <w:pBdr>
          <w:top w:val="nil"/>
          <w:left w:val="nil"/>
          <w:bottom w:val="nil"/>
          <w:right w:val="nil"/>
          <w:between w:val="nil"/>
        </w:pBdr>
        <w:tabs>
          <w:tab w:val="left" w:pos="432"/>
          <w:tab w:val="left" w:pos="1125"/>
          <w:tab w:val="left" w:pos="5743"/>
        </w:tabs>
        <w:spacing w:after="120" w:line="360" w:lineRule="auto"/>
        <w:jc w:val="both"/>
        <w:rPr>
          <w:rFonts w:ascii="Arial" w:eastAsia="Arial" w:hAnsi="Arial" w:cs="Arial"/>
          <w:color w:val="010000"/>
          <w:sz w:val="20"/>
          <w:szCs w:val="20"/>
        </w:rPr>
      </w:pPr>
      <w:r>
        <w:rPr>
          <w:rFonts w:ascii="Arial" w:hAnsi="Arial"/>
          <w:color w:val="010000"/>
          <w:sz w:val="20"/>
        </w:rPr>
        <w:t>Total revenue VND 162,166,795,912</w:t>
      </w:r>
    </w:p>
    <w:p w14:paraId="0000000A" w14:textId="77777777" w:rsidR="000A3312" w:rsidRDefault="00AA32C4" w:rsidP="00D625D1">
      <w:pPr>
        <w:numPr>
          <w:ilvl w:val="0"/>
          <w:numId w:val="6"/>
        </w:numPr>
        <w:pBdr>
          <w:top w:val="nil"/>
          <w:left w:val="nil"/>
          <w:bottom w:val="nil"/>
          <w:right w:val="nil"/>
          <w:between w:val="nil"/>
        </w:pBdr>
        <w:tabs>
          <w:tab w:val="left" w:pos="432"/>
          <w:tab w:val="left" w:pos="1125"/>
          <w:tab w:val="left" w:pos="5743"/>
        </w:tabs>
        <w:spacing w:after="120" w:line="360" w:lineRule="auto"/>
        <w:jc w:val="both"/>
        <w:rPr>
          <w:rFonts w:ascii="Arial" w:eastAsia="Arial" w:hAnsi="Arial" w:cs="Arial"/>
          <w:color w:val="010000"/>
          <w:sz w:val="20"/>
          <w:szCs w:val="20"/>
        </w:rPr>
      </w:pPr>
      <w:r>
        <w:rPr>
          <w:rFonts w:ascii="Arial" w:hAnsi="Arial"/>
          <w:color w:val="010000"/>
          <w:sz w:val="20"/>
        </w:rPr>
        <w:t>Total expenses: VND 160,414,486,189</w:t>
      </w:r>
    </w:p>
    <w:p w14:paraId="0000000B" w14:textId="77777777" w:rsidR="000A3312" w:rsidRDefault="00AA32C4" w:rsidP="00D625D1">
      <w:pPr>
        <w:numPr>
          <w:ilvl w:val="0"/>
          <w:numId w:val="6"/>
        </w:numPr>
        <w:pBdr>
          <w:top w:val="nil"/>
          <w:left w:val="nil"/>
          <w:bottom w:val="nil"/>
          <w:right w:val="nil"/>
          <w:between w:val="nil"/>
        </w:pBdr>
        <w:tabs>
          <w:tab w:val="left" w:pos="432"/>
          <w:tab w:val="left" w:pos="1125"/>
          <w:tab w:val="left" w:pos="5743"/>
        </w:tabs>
        <w:spacing w:after="120" w:line="360" w:lineRule="auto"/>
        <w:jc w:val="both"/>
        <w:rPr>
          <w:rFonts w:ascii="Arial" w:eastAsia="Arial" w:hAnsi="Arial" w:cs="Arial"/>
          <w:color w:val="010000"/>
          <w:sz w:val="20"/>
          <w:szCs w:val="20"/>
        </w:rPr>
      </w:pPr>
      <w:r>
        <w:rPr>
          <w:rFonts w:ascii="Arial" w:hAnsi="Arial"/>
          <w:color w:val="010000"/>
          <w:sz w:val="20"/>
        </w:rPr>
        <w:t>Profit before tax in 2023: VND 1,752,309,723</w:t>
      </w:r>
    </w:p>
    <w:p w14:paraId="0000000C" w14:textId="77777777" w:rsidR="000A3312" w:rsidRDefault="00AA32C4" w:rsidP="00D625D1">
      <w:pPr>
        <w:numPr>
          <w:ilvl w:val="0"/>
          <w:numId w:val="6"/>
        </w:numPr>
        <w:pBdr>
          <w:top w:val="nil"/>
          <w:left w:val="nil"/>
          <w:bottom w:val="nil"/>
          <w:right w:val="nil"/>
          <w:between w:val="nil"/>
        </w:pBdr>
        <w:tabs>
          <w:tab w:val="left" w:pos="432"/>
          <w:tab w:val="left" w:pos="1125"/>
          <w:tab w:val="left" w:pos="5743"/>
        </w:tabs>
        <w:spacing w:after="120" w:line="360" w:lineRule="auto"/>
        <w:jc w:val="both"/>
        <w:rPr>
          <w:rFonts w:ascii="Arial" w:eastAsia="Arial" w:hAnsi="Arial" w:cs="Arial"/>
          <w:color w:val="010000"/>
          <w:sz w:val="20"/>
          <w:szCs w:val="20"/>
        </w:rPr>
      </w:pPr>
      <w:r>
        <w:rPr>
          <w:rFonts w:ascii="Arial" w:hAnsi="Arial"/>
          <w:color w:val="010000"/>
          <w:sz w:val="20"/>
        </w:rPr>
        <w:t>Profit after tax in 2023: VND 1,410,963,317</w:t>
      </w:r>
    </w:p>
    <w:p w14:paraId="0000000D" w14:textId="77777777" w:rsidR="000A3312" w:rsidRDefault="00AA32C4" w:rsidP="00D625D1">
      <w:pPr>
        <w:numPr>
          <w:ilvl w:val="0"/>
          <w:numId w:val="6"/>
        </w:numPr>
        <w:pBdr>
          <w:top w:val="nil"/>
          <w:left w:val="nil"/>
          <w:bottom w:val="nil"/>
          <w:right w:val="nil"/>
          <w:between w:val="nil"/>
        </w:pBdr>
        <w:tabs>
          <w:tab w:val="left" w:pos="432"/>
          <w:tab w:val="left" w:pos="1125"/>
          <w:tab w:val="left" w:pos="5743"/>
        </w:tabs>
        <w:spacing w:after="120" w:line="360" w:lineRule="auto"/>
        <w:jc w:val="both"/>
        <w:rPr>
          <w:rFonts w:ascii="Arial" w:eastAsia="Arial" w:hAnsi="Arial" w:cs="Arial"/>
          <w:color w:val="010000"/>
          <w:sz w:val="20"/>
          <w:szCs w:val="20"/>
        </w:rPr>
      </w:pPr>
      <w:r>
        <w:rPr>
          <w:rFonts w:ascii="Arial" w:hAnsi="Arial"/>
          <w:color w:val="010000"/>
          <w:sz w:val="20"/>
        </w:rPr>
        <w:t>Accumulated profit until 2022: VND 506,285,970</w:t>
      </w:r>
    </w:p>
    <w:p w14:paraId="0000000E" w14:textId="77777777" w:rsidR="000A3312" w:rsidRDefault="00AA32C4" w:rsidP="00D625D1">
      <w:pPr>
        <w:numPr>
          <w:ilvl w:val="0"/>
          <w:numId w:val="6"/>
        </w:numPr>
        <w:pBdr>
          <w:top w:val="nil"/>
          <w:left w:val="nil"/>
          <w:bottom w:val="nil"/>
          <w:right w:val="nil"/>
          <w:between w:val="nil"/>
        </w:pBdr>
        <w:tabs>
          <w:tab w:val="left" w:pos="432"/>
          <w:tab w:val="left" w:pos="1125"/>
          <w:tab w:val="left" w:pos="5743"/>
        </w:tabs>
        <w:spacing w:after="120" w:line="360" w:lineRule="auto"/>
        <w:jc w:val="both"/>
        <w:rPr>
          <w:rFonts w:ascii="Arial" w:eastAsia="Arial" w:hAnsi="Arial" w:cs="Arial"/>
          <w:color w:val="010000"/>
          <w:sz w:val="20"/>
          <w:szCs w:val="20"/>
        </w:rPr>
      </w:pPr>
      <w:r>
        <w:rPr>
          <w:rFonts w:ascii="Arial" w:hAnsi="Arial"/>
          <w:color w:val="010000"/>
          <w:sz w:val="20"/>
        </w:rPr>
        <w:t>Accumulated profit until 2023: VND 1,917,249,287</w:t>
      </w:r>
    </w:p>
    <w:p w14:paraId="0000000F" w14:textId="6B34E5B7" w:rsidR="000A3312" w:rsidRDefault="00D625D1" w:rsidP="00D625D1">
      <w:pPr>
        <w:numPr>
          <w:ilvl w:val="0"/>
          <w:numId w:val="6"/>
        </w:numPr>
        <w:pBdr>
          <w:top w:val="nil"/>
          <w:left w:val="nil"/>
          <w:bottom w:val="nil"/>
          <w:right w:val="nil"/>
          <w:between w:val="nil"/>
        </w:pBdr>
        <w:tabs>
          <w:tab w:val="left" w:pos="432"/>
          <w:tab w:val="left" w:pos="1125"/>
          <w:tab w:val="left" w:pos="5743"/>
        </w:tabs>
        <w:spacing w:after="120" w:line="360" w:lineRule="auto"/>
        <w:jc w:val="both"/>
        <w:rPr>
          <w:rFonts w:ascii="Arial" w:eastAsia="Arial" w:hAnsi="Arial" w:cs="Arial"/>
          <w:color w:val="010000"/>
          <w:sz w:val="20"/>
          <w:szCs w:val="20"/>
        </w:rPr>
      </w:pPr>
      <w:r>
        <w:rPr>
          <w:rFonts w:ascii="Arial" w:hAnsi="Arial"/>
          <w:color w:val="010000"/>
          <w:sz w:val="20"/>
        </w:rPr>
        <w:t>Profit after tax</w:t>
      </w:r>
      <w:r w:rsidR="00AA32C4">
        <w:rPr>
          <w:rFonts w:ascii="Arial" w:hAnsi="Arial"/>
          <w:color w:val="010000"/>
          <w:sz w:val="20"/>
        </w:rPr>
        <w:t>/Charter capital rate 0.61%</w:t>
      </w:r>
    </w:p>
    <w:p w14:paraId="00000010" w14:textId="77777777" w:rsidR="000A3312" w:rsidRDefault="00AA32C4" w:rsidP="00D625D1">
      <w:pPr>
        <w:numPr>
          <w:ilvl w:val="0"/>
          <w:numId w:val="7"/>
        </w:numPr>
        <w:pBdr>
          <w:top w:val="nil"/>
          <w:left w:val="nil"/>
          <w:bottom w:val="nil"/>
          <w:right w:val="nil"/>
          <w:between w:val="nil"/>
        </w:pBdr>
        <w:tabs>
          <w:tab w:val="left" w:pos="432"/>
          <w:tab w:val="left" w:pos="819"/>
        </w:tabs>
        <w:spacing w:after="120" w:line="360" w:lineRule="auto"/>
        <w:jc w:val="both"/>
        <w:rPr>
          <w:rFonts w:ascii="Arial" w:eastAsia="Arial" w:hAnsi="Arial" w:cs="Arial"/>
          <w:color w:val="010000"/>
          <w:sz w:val="20"/>
          <w:szCs w:val="20"/>
        </w:rPr>
      </w:pPr>
      <w:r>
        <w:rPr>
          <w:rFonts w:ascii="Arial" w:hAnsi="Arial"/>
          <w:color w:val="010000"/>
          <w:sz w:val="20"/>
        </w:rPr>
        <w:t>Dividend payment:</w:t>
      </w:r>
    </w:p>
    <w:p w14:paraId="00000011" w14:textId="77777777" w:rsidR="000A3312" w:rsidRDefault="00AA32C4" w:rsidP="00D625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 dividend payment of 2023</w:t>
      </w:r>
    </w:p>
    <w:p w14:paraId="00000012" w14:textId="77777777" w:rsidR="000A3312" w:rsidRDefault="00AA32C4" w:rsidP="00D625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6: </w:t>
      </w:r>
      <w:r>
        <w:rPr>
          <w:rFonts w:ascii="Arial" w:hAnsi="Arial"/>
          <w:color w:val="010000"/>
          <w:sz w:val="20"/>
        </w:rPr>
        <w:t>Approve the Proposal on production and business plan for 2024.</w:t>
      </w:r>
    </w:p>
    <w:p w14:paraId="00000013" w14:textId="77777777" w:rsidR="000A3312" w:rsidRDefault="00AA32C4" w:rsidP="00D625D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revenue: VND 190,284,485,973</w:t>
      </w:r>
    </w:p>
    <w:p w14:paraId="00000014" w14:textId="77777777" w:rsidR="000A3312" w:rsidRDefault="00AA32C4" w:rsidP="00D625D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expenses: VND 188,460,987,189</w:t>
      </w:r>
    </w:p>
    <w:p w14:paraId="00000015" w14:textId="77777777" w:rsidR="000A3312" w:rsidRDefault="00AA32C4" w:rsidP="00D625D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before tax: VND 1,823,498,784</w:t>
      </w:r>
    </w:p>
    <w:p w14:paraId="00000016" w14:textId="77777777" w:rsidR="000A3312" w:rsidRDefault="00AA32C4" w:rsidP="00D625D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after tax: VND 1,458,799,027</w:t>
      </w:r>
    </w:p>
    <w:p w14:paraId="00000017" w14:textId="77777777" w:rsidR="000A3312" w:rsidRDefault="00AA32C4" w:rsidP="00D625D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after tax /Charter capital rate 0.61%</w:t>
      </w:r>
    </w:p>
    <w:p w14:paraId="00000018" w14:textId="77777777" w:rsidR="000A3312" w:rsidRDefault="00AA32C4" w:rsidP="00D625D1">
      <w:pPr>
        <w:pBdr>
          <w:top w:val="nil"/>
          <w:left w:val="nil"/>
          <w:bottom w:val="nil"/>
          <w:right w:val="nil"/>
          <w:between w:val="nil"/>
        </w:pBdr>
        <w:tabs>
          <w:tab w:val="left" w:pos="432"/>
          <w:tab w:val="left" w:pos="8111"/>
        </w:tabs>
        <w:spacing w:after="120" w:line="360" w:lineRule="auto"/>
        <w:jc w:val="both"/>
        <w:rPr>
          <w:rFonts w:ascii="Arial" w:eastAsia="Arial" w:hAnsi="Arial" w:cs="Arial"/>
          <w:color w:val="010000"/>
          <w:sz w:val="20"/>
          <w:szCs w:val="20"/>
        </w:rPr>
      </w:pPr>
      <w:r>
        <w:rPr>
          <w:rFonts w:ascii="Arial" w:hAnsi="Arial"/>
          <w:color w:val="010000"/>
          <w:sz w:val="20"/>
        </w:rPr>
        <w:t>Arti</w:t>
      </w:r>
      <w:r>
        <w:rPr>
          <w:rFonts w:ascii="Arial" w:hAnsi="Arial"/>
          <w:color w:val="010000"/>
          <w:sz w:val="20"/>
        </w:rPr>
        <w:t xml:space="preserve">cle 7: </w:t>
      </w:r>
      <w:r>
        <w:rPr>
          <w:rFonts w:ascii="Arial" w:hAnsi="Arial"/>
          <w:color w:val="010000"/>
          <w:sz w:val="20"/>
        </w:rPr>
        <w:t>Approving the Proposal on selecting an audit company for the separate and consolidated Financial Statements 2024.</w:t>
      </w:r>
    </w:p>
    <w:p w14:paraId="00000019" w14:textId="77777777" w:rsidR="000A3312" w:rsidRDefault="00AA32C4" w:rsidP="00D625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8: </w:t>
      </w:r>
      <w:r>
        <w:rPr>
          <w:rFonts w:ascii="Arial" w:hAnsi="Arial"/>
          <w:color w:val="010000"/>
          <w:sz w:val="20"/>
        </w:rPr>
        <w:t>Approve the Proposal on remuneration for the Board of Directors and the Supervisory Board in 2024.</w:t>
      </w:r>
    </w:p>
    <w:p w14:paraId="0000001A" w14:textId="77777777" w:rsidR="000A3312" w:rsidRDefault="00AA32C4" w:rsidP="00D625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9: </w:t>
      </w:r>
      <w:r>
        <w:rPr>
          <w:rFonts w:ascii="Arial" w:hAnsi="Arial"/>
          <w:color w:val="010000"/>
          <w:sz w:val="20"/>
        </w:rPr>
        <w:t xml:space="preserve">Approve the Proposal on reporting the progress of capital used for the sale of treasury shares </w:t>
      </w:r>
      <w:r>
        <w:rPr>
          <w:rFonts w:ascii="Arial" w:hAnsi="Arial"/>
          <w:color w:val="010000"/>
          <w:sz w:val="20"/>
        </w:rPr>
        <w:lastRenderedPageBreak/>
        <w:t>in the form of private offering in 2023.</w:t>
      </w:r>
    </w:p>
    <w:p w14:paraId="0000001B" w14:textId="77777777" w:rsidR="000A3312" w:rsidRDefault="00AA32C4" w:rsidP="00D625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10: </w:t>
      </w:r>
      <w:r>
        <w:rPr>
          <w:rFonts w:ascii="Arial" w:hAnsi="Arial"/>
          <w:color w:val="010000"/>
          <w:sz w:val="20"/>
        </w:rPr>
        <w:t>Approve the Proposal for the sale of the remaining 970,000 treasury shares in the form of private offering.</w:t>
      </w:r>
    </w:p>
    <w:p w14:paraId="0000001C" w14:textId="77777777" w:rsidR="000A3312" w:rsidRDefault="00AA32C4" w:rsidP="00D625D1">
      <w:pPr>
        <w:numPr>
          <w:ilvl w:val="0"/>
          <w:numId w:val="1"/>
        </w:numPr>
        <w:pBdr>
          <w:top w:val="nil"/>
          <w:left w:val="nil"/>
          <w:bottom w:val="nil"/>
          <w:right w:val="nil"/>
          <w:between w:val="nil"/>
        </w:pBdr>
        <w:tabs>
          <w:tab w:val="left" w:pos="432"/>
          <w:tab w:val="left" w:pos="697"/>
        </w:tabs>
        <w:spacing w:after="120" w:line="360" w:lineRule="auto"/>
        <w:jc w:val="both"/>
        <w:rPr>
          <w:rFonts w:ascii="Arial" w:eastAsia="Arial" w:hAnsi="Arial" w:cs="Arial"/>
          <w:color w:val="010000"/>
          <w:sz w:val="20"/>
          <w:szCs w:val="20"/>
        </w:rPr>
      </w:pPr>
      <w:r>
        <w:rPr>
          <w:rFonts w:ascii="Arial" w:hAnsi="Arial"/>
          <w:color w:val="010000"/>
          <w:sz w:val="20"/>
        </w:rPr>
        <w:t>Share name: Share of Ho Chi Minh City Electric Power Trading Investment Corporation</w:t>
      </w:r>
    </w:p>
    <w:p w14:paraId="0000001D" w14:textId="77777777" w:rsidR="000A3312" w:rsidRDefault="00AA32C4" w:rsidP="00D625D1">
      <w:pPr>
        <w:numPr>
          <w:ilvl w:val="0"/>
          <w:numId w:val="1"/>
        </w:numPr>
        <w:pBdr>
          <w:top w:val="nil"/>
          <w:left w:val="nil"/>
          <w:bottom w:val="nil"/>
          <w:right w:val="nil"/>
          <w:between w:val="nil"/>
        </w:pBdr>
        <w:tabs>
          <w:tab w:val="left" w:pos="432"/>
          <w:tab w:val="left" w:pos="697"/>
        </w:tabs>
        <w:spacing w:after="120" w:line="360" w:lineRule="auto"/>
        <w:jc w:val="both"/>
        <w:rPr>
          <w:rFonts w:ascii="Arial" w:eastAsia="Arial" w:hAnsi="Arial" w:cs="Arial"/>
          <w:color w:val="010000"/>
          <w:sz w:val="20"/>
          <w:szCs w:val="20"/>
        </w:rPr>
      </w:pPr>
      <w:r>
        <w:rPr>
          <w:rFonts w:ascii="Arial" w:hAnsi="Arial"/>
          <w:color w:val="010000"/>
          <w:sz w:val="20"/>
        </w:rPr>
        <w:t>Share type:</w:t>
      </w:r>
      <w:r>
        <w:rPr>
          <w:rFonts w:ascii="Arial" w:hAnsi="Arial"/>
          <w:color w:val="010000"/>
          <w:sz w:val="20"/>
        </w:rPr>
        <w:t xml:space="preserve"> </w:t>
      </w:r>
      <w:r>
        <w:rPr>
          <w:rFonts w:ascii="Arial" w:hAnsi="Arial"/>
          <w:color w:val="010000"/>
          <w:sz w:val="20"/>
        </w:rPr>
        <w:t>Common shares</w:t>
      </w:r>
    </w:p>
    <w:p w14:paraId="0000001E" w14:textId="77777777" w:rsidR="000A3312" w:rsidRDefault="00AA32C4" w:rsidP="00D625D1">
      <w:pPr>
        <w:numPr>
          <w:ilvl w:val="0"/>
          <w:numId w:val="1"/>
        </w:numPr>
        <w:pBdr>
          <w:top w:val="nil"/>
          <w:left w:val="nil"/>
          <w:bottom w:val="nil"/>
          <w:right w:val="nil"/>
          <w:between w:val="nil"/>
        </w:pBdr>
        <w:tabs>
          <w:tab w:val="left" w:pos="432"/>
          <w:tab w:val="left" w:pos="697"/>
        </w:tabs>
        <w:spacing w:after="120" w:line="360" w:lineRule="auto"/>
        <w:jc w:val="both"/>
        <w:rPr>
          <w:rFonts w:ascii="Arial" w:eastAsia="Arial" w:hAnsi="Arial" w:cs="Arial"/>
          <w:color w:val="010000"/>
          <w:sz w:val="20"/>
          <w:szCs w:val="20"/>
        </w:rPr>
      </w:pPr>
      <w:r>
        <w:rPr>
          <w:rFonts w:ascii="Arial" w:hAnsi="Arial"/>
          <w:color w:val="010000"/>
          <w:sz w:val="20"/>
        </w:rPr>
        <w:t>Securities code: HTE</w:t>
      </w:r>
    </w:p>
    <w:p w14:paraId="0000001F" w14:textId="77777777" w:rsidR="000A3312" w:rsidRDefault="00AA32C4" w:rsidP="00D625D1">
      <w:pPr>
        <w:numPr>
          <w:ilvl w:val="0"/>
          <w:numId w:val="1"/>
        </w:numPr>
        <w:pBdr>
          <w:top w:val="nil"/>
          <w:left w:val="nil"/>
          <w:bottom w:val="nil"/>
          <w:right w:val="nil"/>
          <w:between w:val="nil"/>
        </w:pBdr>
        <w:tabs>
          <w:tab w:val="left" w:pos="432"/>
          <w:tab w:val="left" w:pos="697"/>
        </w:tabs>
        <w:spacing w:after="120" w:line="360" w:lineRule="auto"/>
        <w:jc w:val="both"/>
        <w:rPr>
          <w:rFonts w:ascii="Arial" w:eastAsia="Arial" w:hAnsi="Arial" w:cs="Arial"/>
          <w:color w:val="010000"/>
          <w:sz w:val="20"/>
          <w:szCs w:val="20"/>
        </w:rPr>
      </w:pPr>
      <w:r>
        <w:rPr>
          <w:rFonts w:ascii="Arial" w:hAnsi="Arial"/>
          <w:color w:val="010000"/>
          <w:sz w:val="20"/>
        </w:rPr>
        <w:t>Par value:</w:t>
      </w:r>
      <w:r>
        <w:rPr>
          <w:rFonts w:ascii="Arial" w:hAnsi="Arial"/>
          <w:color w:val="010000"/>
          <w:sz w:val="20"/>
        </w:rPr>
        <w:t xml:space="preserve"> VND 10,000/share</w:t>
      </w:r>
    </w:p>
    <w:p w14:paraId="00000020" w14:textId="77777777" w:rsidR="000A3312" w:rsidRDefault="00AA32C4" w:rsidP="00D625D1">
      <w:pPr>
        <w:numPr>
          <w:ilvl w:val="0"/>
          <w:numId w:val="1"/>
        </w:numPr>
        <w:pBdr>
          <w:top w:val="nil"/>
          <w:left w:val="nil"/>
          <w:bottom w:val="nil"/>
          <w:right w:val="nil"/>
          <w:between w:val="nil"/>
        </w:pBdr>
        <w:tabs>
          <w:tab w:val="left" w:pos="432"/>
          <w:tab w:val="left" w:pos="697"/>
        </w:tabs>
        <w:spacing w:after="120" w:line="360" w:lineRule="auto"/>
        <w:jc w:val="both"/>
        <w:rPr>
          <w:rFonts w:ascii="Arial" w:eastAsia="Arial" w:hAnsi="Arial" w:cs="Arial"/>
          <w:color w:val="010000"/>
          <w:sz w:val="20"/>
          <w:szCs w:val="20"/>
        </w:rPr>
      </w:pPr>
      <w:r>
        <w:rPr>
          <w:rFonts w:ascii="Arial" w:hAnsi="Arial"/>
          <w:color w:val="010000"/>
          <w:sz w:val="20"/>
        </w:rPr>
        <w:t>Current charter capital: VND 236,081,650,000</w:t>
      </w:r>
    </w:p>
    <w:p w14:paraId="00000021" w14:textId="77777777" w:rsidR="000A3312" w:rsidRDefault="00AA32C4" w:rsidP="00D625D1">
      <w:pPr>
        <w:numPr>
          <w:ilvl w:val="0"/>
          <w:numId w:val="1"/>
        </w:numPr>
        <w:pBdr>
          <w:top w:val="nil"/>
          <w:left w:val="nil"/>
          <w:bottom w:val="nil"/>
          <w:right w:val="nil"/>
          <w:between w:val="nil"/>
        </w:pBdr>
        <w:tabs>
          <w:tab w:val="left" w:pos="432"/>
          <w:tab w:val="left" w:pos="697"/>
        </w:tabs>
        <w:spacing w:after="120" w:line="360" w:lineRule="auto"/>
        <w:jc w:val="both"/>
        <w:rPr>
          <w:rFonts w:ascii="Arial" w:eastAsia="Arial" w:hAnsi="Arial" w:cs="Arial"/>
          <w:color w:val="010000"/>
          <w:sz w:val="20"/>
          <w:szCs w:val="20"/>
        </w:rPr>
      </w:pPr>
      <w:r>
        <w:rPr>
          <w:rFonts w:ascii="Arial" w:hAnsi="Arial"/>
          <w:color w:val="010000"/>
          <w:sz w:val="20"/>
        </w:rPr>
        <w:t>Number of issued shares:</w:t>
      </w:r>
      <w:r>
        <w:rPr>
          <w:rFonts w:ascii="Arial" w:hAnsi="Arial"/>
          <w:color w:val="010000"/>
          <w:sz w:val="20"/>
        </w:rPr>
        <w:t xml:space="preserve"> 23,608,165 shares</w:t>
      </w:r>
    </w:p>
    <w:p w14:paraId="00000022" w14:textId="77777777" w:rsidR="000A3312" w:rsidRDefault="00AA32C4" w:rsidP="00D625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which:</w:t>
      </w:r>
    </w:p>
    <w:p w14:paraId="00000023" w14:textId="77777777" w:rsidR="000A3312" w:rsidRDefault="00AA32C4" w:rsidP="00D625D1">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outstanding shares:</w:t>
      </w:r>
      <w:r>
        <w:rPr>
          <w:rFonts w:ascii="Arial" w:hAnsi="Arial"/>
          <w:color w:val="010000"/>
          <w:sz w:val="20"/>
        </w:rPr>
        <w:t xml:space="preserve"> 22,638,165 shares</w:t>
      </w:r>
    </w:p>
    <w:p w14:paraId="00000024" w14:textId="77777777" w:rsidR="000A3312" w:rsidRDefault="00AA32C4" w:rsidP="00D625D1">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treasury shares:</w:t>
      </w:r>
      <w:r>
        <w:rPr>
          <w:rFonts w:ascii="Arial" w:hAnsi="Arial"/>
          <w:color w:val="010000"/>
          <w:sz w:val="20"/>
        </w:rPr>
        <w:t xml:space="preserve"> 970,000 shares</w:t>
      </w:r>
    </w:p>
    <w:p w14:paraId="00000025" w14:textId="77777777" w:rsidR="000A3312" w:rsidRDefault="00AA32C4" w:rsidP="00D625D1">
      <w:pPr>
        <w:numPr>
          <w:ilvl w:val="0"/>
          <w:numId w:val="1"/>
        </w:numPr>
        <w:pBdr>
          <w:top w:val="nil"/>
          <w:left w:val="nil"/>
          <w:bottom w:val="nil"/>
          <w:right w:val="nil"/>
          <w:between w:val="nil"/>
        </w:pBdr>
        <w:tabs>
          <w:tab w:val="left" w:pos="432"/>
          <w:tab w:val="left" w:pos="682"/>
        </w:tabs>
        <w:spacing w:after="120" w:line="360" w:lineRule="auto"/>
        <w:jc w:val="both"/>
        <w:rPr>
          <w:rFonts w:ascii="Arial" w:eastAsia="Arial" w:hAnsi="Arial" w:cs="Arial"/>
          <w:color w:val="010000"/>
          <w:sz w:val="20"/>
          <w:szCs w:val="20"/>
        </w:rPr>
      </w:pPr>
      <w:r>
        <w:rPr>
          <w:rFonts w:ascii="Arial" w:hAnsi="Arial"/>
          <w:color w:val="010000"/>
          <w:sz w:val="20"/>
        </w:rPr>
        <w:t>Maximum number of treasury shares offered:</w:t>
      </w:r>
      <w:r>
        <w:rPr>
          <w:rFonts w:ascii="Arial" w:hAnsi="Arial"/>
          <w:color w:val="010000"/>
          <w:sz w:val="20"/>
        </w:rPr>
        <w:t xml:space="preserve"> 970,000 shares</w:t>
      </w:r>
    </w:p>
    <w:p w14:paraId="00000026" w14:textId="77777777" w:rsidR="000A3312" w:rsidRDefault="00AA32C4" w:rsidP="00D625D1">
      <w:pPr>
        <w:numPr>
          <w:ilvl w:val="0"/>
          <w:numId w:val="1"/>
        </w:numPr>
        <w:pBdr>
          <w:top w:val="nil"/>
          <w:left w:val="nil"/>
          <w:bottom w:val="nil"/>
          <w:right w:val="nil"/>
          <w:between w:val="nil"/>
        </w:pBdr>
        <w:tabs>
          <w:tab w:val="left" w:pos="432"/>
          <w:tab w:val="left" w:pos="682"/>
        </w:tabs>
        <w:spacing w:after="120" w:line="360" w:lineRule="auto"/>
        <w:jc w:val="both"/>
        <w:rPr>
          <w:rFonts w:ascii="Arial" w:eastAsia="Arial" w:hAnsi="Arial" w:cs="Arial"/>
          <w:color w:val="010000"/>
          <w:sz w:val="20"/>
          <w:szCs w:val="20"/>
        </w:rPr>
      </w:pPr>
      <w:r>
        <w:rPr>
          <w:rFonts w:ascii="Arial" w:hAnsi="Arial"/>
          <w:color w:val="010000"/>
          <w:sz w:val="20"/>
        </w:rPr>
        <w:t xml:space="preserve">Total value of treasury shares offered based on the par value: VND 9,700,000,000 </w:t>
      </w:r>
    </w:p>
    <w:p w14:paraId="00000027" w14:textId="77777777" w:rsidR="000A3312" w:rsidRDefault="00AA32C4" w:rsidP="00D625D1">
      <w:pPr>
        <w:numPr>
          <w:ilvl w:val="0"/>
          <w:numId w:val="1"/>
        </w:numPr>
        <w:pBdr>
          <w:top w:val="nil"/>
          <w:left w:val="nil"/>
          <w:bottom w:val="nil"/>
          <w:right w:val="nil"/>
          <w:between w:val="nil"/>
        </w:pBdr>
        <w:tabs>
          <w:tab w:val="left" w:pos="432"/>
          <w:tab w:val="left" w:pos="682"/>
        </w:tabs>
        <w:spacing w:after="120" w:line="360" w:lineRule="auto"/>
        <w:jc w:val="both"/>
        <w:rPr>
          <w:rFonts w:ascii="Arial" w:eastAsia="Arial" w:hAnsi="Arial" w:cs="Arial"/>
          <w:color w:val="010000"/>
          <w:sz w:val="20"/>
          <w:szCs w:val="20"/>
        </w:rPr>
      </w:pPr>
      <w:r>
        <w:rPr>
          <w:rFonts w:ascii="Arial" w:hAnsi="Arial"/>
          <w:color w:val="010000"/>
          <w:sz w:val="20"/>
        </w:rPr>
        <w:t xml:space="preserve">Expected number of outstanding shares to be changed: </w:t>
      </w:r>
    </w:p>
    <w:p w14:paraId="00000028" w14:textId="77777777" w:rsidR="000A3312" w:rsidRDefault="00AA32C4" w:rsidP="00D625D1">
      <w:pPr>
        <w:numPr>
          <w:ilvl w:val="0"/>
          <w:numId w:val="2"/>
        </w:numPr>
        <w:pBdr>
          <w:top w:val="nil"/>
          <w:left w:val="nil"/>
          <w:bottom w:val="nil"/>
          <w:right w:val="nil"/>
          <w:between w:val="nil"/>
        </w:pBdr>
        <w:tabs>
          <w:tab w:val="left" w:pos="432"/>
          <w:tab w:val="left" w:pos="1094"/>
        </w:tabs>
        <w:spacing w:after="120" w:line="360" w:lineRule="auto"/>
        <w:jc w:val="both"/>
        <w:rPr>
          <w:rFonts w:ascii="Arial" w:eastAsia="Arial" w:hAnsi="Arial" w:cs="Arial"/>
          <w:color w:val="010000"/>
          <w:sz w:val="20"/>
          <w:szCs w:val="20"/>
        </w:rPr>
      </w:pPr>
      <w:r>
        <w:rPr>
          <w:rFonts w:ascii="Arial" w:hAnsi="Arial"/>
          <w:color w:val="010000"/>
          <w:sz w:val="20"/>
        </w:rPr>
        <w:t>Number of outstanding shares before the offering:</w:t>
      </w:r>
      <w:r>
        <w:rPr>
          <w:rFonts w:ascii="Arial" w:hAnsi="Arial"/>
          <w:color w:val="010000"/>
          <w:sz w:val="20"/>
        </w:rPr>
        <w:t xml:space="preserve"> 22,638,165 shares</w:t>
      </w:r>
    </w:p>
    <w:p w14:paraId="00000029" w14:textId="77777777" w:rsidR="000A3312" w:rsidRDefault="00AA32C4" w:rsidP="00D625D1">
      <w:pPr>
        <w:numPr>
          <w:ilvl w:val="0"/>
          <w:numId w:val="2"/>
        </w:numPr>
        <w:pBdr>
          <w:top w:val="nil"/>
          <w:left w:val="nil"/>
          <w:bottom w:val="nil"/>
          <w:right w:val="nil"/>
          <w:between w:val="nil"/>
        </w:pBdr>
        <w:tabs>
          <w:tab w:val="left" w:pos="432"/>
          <w:tab w:val="left" w:pos="1094"/>
        </w:tabs>
        <w:spacing w:after="120" w:line="360" w:lineRule="auto"/>
        <w:jc w:val="both"/>
        <w:rPr>
          <w:rFonts w:ascii="Arial" w:eastAsia="Arial" w:hAnsi="Arial" w:cs="Arial"/>
          <w:color w:val="010000"/>
          <w:sz w:val="20"/>
          <w:szCs w:val="20"/>
        </w:rPr>
      </w:pPr>
      <w:r>
        <w:rPr>
          <w:rFonts w:ascii="Arial" w:hAnsi="Arial"/>
          <w:color w:val="010000"/>
          <w:sz w:val="20"/>
        </w:rPr>
        <w:t>The number of outstanding shares is expected to increase: 970,000 shares</w:t>
      </w:r>
    </w:p>
    <w:p w14:paraId="0000002A" w14:textId="77777777" w:rsidR="000A3312" w:rsidRDefault="00AA32C4" w:rsidP="00D625D1">
      <w:pPr>
        <w:numPr>
          <w:ilvl w:val="0"/>
          <w:numId w:val="2"/>
        </w:numPr>
        <w:pBdr>
          <w:top w:val="nil"/>
          <w:left w:val="nil"/>
          <w:bottom w:val="nil"/>
          <w:right w:val="nil"/>
          <w:between w:val="nil"/>
        </w:pBdr>
        <w:tabs>
          <w:tab w:val="left" w:pos="432"/>
          <w:tab w:val="left" w:pos="1094"/>
        </w:tabs>
        <w:spacing w:after="120" w:line="360" w:lineRule="auto"/>
        <w:jc w:val="both"/>
        <w:rPr>
          <w:rFonts w:ascii="Arial" w:eastAsia="Arial" w:hAnsi="Arial" w:cs="Arial"/>
          <w:color w:val="010000"/>
          <w:sz w:val="20"/>
          <w:szCs w:val="20"/>
        </w:rPr>
      </w:pPr>
      <w:r>
        <w:rPr>
          <w:rFonts w:ascii="Arial" w:hAnsi="Arial"/>
          <w:color w:val="010000"/>
          <w:sz w:val="20"/>
        </w:rPr>
        <w:t>Expected number of outstanding shares after the offering</w:t>
      </w:r>
      <w:r>
        <w:rPr>
          <w:rFonts w:ascii="Arial" w:hAnsi="Arial"/>
          <w:color w:val="010000"/>
          <w:sz w:val="20"/>
        </w:rPr>
        <w:t xml:space="preserve"> </w:t>
      </w:r>
      <w:r>
        <w:rPr>
          <w:rFonts w:ascii="Arial" w:hAnsi="Arial"/>
          <w:color w:val="010000"/>
          <w:sz w:val="20"/>
        </w:rPr>
        <w:t>23,608,165 shares</w:t>
      </w:r>
    </w:p>
    <w:p w14:paraId="0000002B" w14:textId="77777777" w:rsidR="000A3312" w:rsidRDefault="00AA32C4" w:rsidP="00D625D1">
      <w:pPr>
        <w:numPr>
          <w:ilvl w:val="0"/>
          <w:numId w:val="1"/>
        </w:numPr>
        <w:pBdr>
          <w:top w:val="nil"/>
          <w:left w:val="nil"/>
          <w:bottom w:val="nil"/>
          <w:right w:val="nil"/>
          <w:between w:val="nil"/>
        </w:pBdr>
        <w:tabs>
          <w:tab w:val="left" w:pos="432"/>
          <w:tab w:val="left" w:pos="682"/>
        </w:tabs>
        <w:spacing w:after="120" w:line="360" w:lineRule="auto"/>
        <w:jc w:val="both"/>
        <w:rPr>
          <w:rFonts w:ascii="Arial" w:eastAsia="Arial" w:hAnsi="Arial" w:cs="Arial"/>
          <w:color w:val="010000"/>
          <w:sz w:val="20"/>
          <w:szCs w:val="20"/>
        </w:rPr>
      </w:pPr>
      <w:r>
        <w:rPr>
          <w:rFonts w:ascii="Arial" w:hAnsi="Arial"/>
          <w:color w:val="010000"/>
          <w:sz w:val="20"/>
        </w:rPr>
        <w:t>Expected number of treasury shares to be changed:</w:t>
      </w:r>
    </w:p>
    <w:p w14:paraId="0000002C" w14:textId="77777777" w:rsidR="000A3312" w:rsidRDefault="00AA32C4" w:rsidP="00D625D1">
      <w:pPr>
        <w:numPr>
          <w:ilvl w:val="0"/>
          <w:numId w:val="2"/>
        </w:numPr>
        <w:pBdr>
          <w:top w:val="nil"/>
          <w:left w:val="nil"/>
          <w:bottom w:val="nil"/>
          <w:right w:val="nil"/>
          <w:between w:val="nil"/>
        </w:pBdr>
        <w:tabs>
          <w:tab w:val="left" w:pos="432"/>
          <w:tab w:val="left" w:pos="1094"/>
          <w:tab w:val="center" w:pos="1786"/>
          <w:tab w:val="center" w:pos="2316"/>
          <w:tab w:val="left" w:pos="2615"/>
        </w:tabs>
        <w:spacing w:after="120" w:line="360" w:lineRule="auto"/>
        <w:jc w:val="both"/>
        <w:rPr>
          <w:rFonts w:ascii="Arial" w:eastAsia="Arial" w:hAnsi="Arial" w:cs="Arial"/>
          <w:color w:val="010000"/>
          <w:sz w:val="20"/>
          <w:szCs w:val="20"/>
        </w:rPr>
      </w:pPr>
      <w:r>
        <w:rPr>
          <w:rFonts w:ascii="Arial" w:hAnsi="Arial"/>
          <w:color w:val="010000"/>
          <w:sz w:val="20"/>
        </w:rPr>
        <w:t xml:space="preserve">Number of treasury shares before the offering: </w:t>
      </w:r>
      <w:r>
        <w:rPr>
          <w:rFonts w:ascii="Arial" w:hAnsi="Arial"/>
          <w:color w:val="010000"/>
          <w:sz w:val="20"/>
        </w:rPr>
        <w:t>970,000 shares</w:t>
      </w:r>
    </w:p>
    <w:p w14:paraId="0000002D" w14:textId="77777777" w:rsidR="000A3312" w:rsidRDefault="00AA32C4" w:rsidP="00D625D1">
      <w:pPr>
        <w:numPr>
          <w:ilvl w:val="0"/>
          <w:numId w:val="2"/>
        </w:numPr>
        <w:pBdr>
          <w:top w:val="nil"/>
          <w:left w:val="nil"/>
          <w:bottom w:val="nil"/>
          <w:right w:val="nil"/>
          <w:between w:val="nil"/>
        </w:pBdr>
        <w:tabs>
          <w:tab w:val="left" w:pos="432"/>
          <w:tab w:val="left" w:pos="1094"/>
          <w:tab w:val="center" w:pos="1786"/>
          <w:tab w:val="center" w:pos="2316"/>
          <w:tab w:val="left" w:pos="2615"/>
          <w:tab w:val="left" w:pos="6699"/>
        </w:tabs>
        <w:spacing w:after="120" w:line="360" w:lineRule="auto"/>
        <w:jc w:val="both"/>
        <w:rPr>
          <w:rFonts w:ascii="Arial" w:eastAsia="Arial" w:hAnsi="Arial" w:cs="Arial"/>
          <w:color w:val="010000"/>
          <w:sz w:val="20"/>
          <w:szCs w:val="20"/>
        </w:rPr>
      </w:pPr>
      <w:r>
        <w:rPr>
          <w:rFonts w:ascii="Arial" w:hAnsi="Arial"/>
          <w:color w:val="010000"/>
          <w:sz w:val="20"/>
        </w:rPr>
        <w:t>The number of treasury shares is expected to decrease:</w:t>
      </w:r>
      <w:r>
        <w:rPr>
          <w:rFonts w:ascii="Arial" w:hAnsi="Arial"/>
          <w:color w:val="010000"/>
          <w:sz w:val="20"/>
        </w:rPr>
        <w:t xml:space="preserve"> 970,000 shares</w:t>
      </w:r>
    </w:p>
    <w:p w14:paraId="0000002E" w14:textId="77777777" w:rsidR="000A3312" w:rsidRDefault="00AA32C4" w:rsidP="00D625D1">
      <w:pPr>
        <w:numPr>
          <w:ilvl w:val="0"/>
          <w:numId w:val="2"/>
        </w:numPr>
        <w:tabs>
          <w:tab w:val="left" w:pos="432"/>
          <w:tab w:val="left" w:pos="1094"/>
          <w:tab w:val="center" w:pos="1786"/>
          <w:tab w:val="center" w:pos="2316"/>
          <w:tab w:val="left" w:pos="2615"/>
          <w:tab w:val="left" w:pos="6699"/>
          <w:tab w:val="right" w:pos="10147"/>
        </w:tabs>
        <w:spacing w:after="120" w:line="360" w:lineRule="auto"/>
        <w:jc w:val="both"/>
        <w:rPr>
          <w:color w:val="010000"/>
        </w:rPr>
      </w:pPr>
      <w:r>
        <w:rPr>
          <w:rFonts w:ascii="Arial" w:hAnsi="Arial"/>
          <w:color w:val="010000"/>
          <w:sz w:val="20"/>
        </w:rPr>
        <w:t xml:space="preserve">Number of expected treasury shares after the offering: </w:t>
      </w:r>
      <w:r>
        <w:rPr>
          <w:rFonts w:ascii="Arial" w:hAnsi="Arial"/>
          <w:color w:val="010000"/>
          <w:sz w:val="20"/>
        </w:rPr>
        <w:t>0 shares</w:t>
      </w:r>
    </w:p>
    <w:p w14:paraId="0000002F" w14:textId="77777777" w:rsidR="000A3312" w:rsidRDefault="00AA32C4" w:rsidP="00D625D1">
      <w:pPr>
        <w:numPr>
          <w:ilvl w:val="0"/>
          <w:numId w:val="1"/>
        </w:numPr>
        <w:tabs>
          <w:tab w:val="left" w:pos="432"/>
          <w:tab w:val="left" w:pos="682"/>
          <w:tab w:val="left" w:pos="1195"/>
          <w:tab w:val="left" w:pos="2609"/>
          <w:tab w:val="right" w:pos="10147"/>
        </w:tabs>
        <w:spacing w:after="120" w:line="360" w:lineRule="auto"/>
        <w:jc w:val="both"/>
        <w:rPr>
          <w:color w:val="010000"/>
        </w:rPr>
      </w:pPr>
      <w:r>
        <w:rPr>
          <w:rFonts w:ascii="Arial" w:hAnsi="Arial"/>
          <w:color w:val="010000"/>
          <w:sz w:val="20"/>
        </w:rPr>
        <w:t>Change in Charter Capital:</w:t>
      </w:r>
    </w:p>
    <w:p w14:paraId="00000030" w14:textId="77777777" w:rsidR="000A3312" w:rsidRDefault="00AA32C4" w:rsidP="00D625D1">
      <w:pPr>
        <w:numPr>
          <w:ilvl w:val="0"/>
          <w:numId w:val="2"/>
        </w:numPr>
        <w:tabs>
          <w:tab w:val="left" w:pos="432"/>
          <w:tab w:val="left" w:pos="1094"/>
          <w:tab w:val="center" w:pos="5831"/>
          <w:tab w:val="right" w:pos="10147"/>
        </w:tabs>
        <w:spacing w:after="120" w:line="360" w:lineRule="auto"/>
        <w:jc w:val="both"/>
        <w:rPr>
          <w:color w:val="010000"/>
        </w:rPr>
      </w:pPr>
      <w:r>
        <w:rPr>
          <w:rFonts w:ascii="Arial" w:hAnsi="Arial"/>
          <w:color w:val="010000"/>
          <w:sz w:val="20"/>
        </w:rPr>
        <w:t>Charter capital before the offering: VND 236,081,650,000</w:t>
      </w:r>
    </w:p>
    <w:p w14:paraId="00000031" w14:textId="77777777" w:rsidR="000A3312" w:rsidRDefault="00AA32C4" w:rsidP="00D625D1">
      <w:pPr>
        <w:numPr>
          <w:ilvl w:val="0"/>
          <w:numId w:val="2"/>
        </w:numPr>
        <w:tabs>
          <w:tab w:val="left" w:pos="432"/>
          <w:tab w:val="left" w:pos="1094"/>
          <w:tab w:val="right" w:pos="10147"/>
        </w:tabs>
        <w:spacing w:after="120" w:line="360" w:lineRule="auto"/>
        <w:jc w:val="both"/>
        <w:rPr>
          <w:color w:val="010000"/>
        </w:rPr>
      </w:pPr>
      <w:r>
        <w:rPr>
          <w:rFonts w:ascii="Arial" w:hAnsi="Arial"/>
          <w:color w:val="010000"/>
          <w:sz w:val="20"/>
        </w:rPr>
        <w:t>Changed charter capital: VND 0</w:t>
      </w:r>
    </w:p>
    <w:p w14:paraId="00000032" w14:textId="77777777" w:rsidR="000A3312" w:rsidRDefault="00AA32C4" w:rsidP="00D625D1">
      <w:pPr>
        <w:numPr>
          <w:ilvl w:val="0"/>
          <w:numId w:val="2"/>
        </w:numPr>
        <w:pBdr>
          <w:top w:val="nil"/>
          <w:left w:val="nil"/>
          <w:bottom w:val="nil"/>
          <w:right w:val="nil"/>
          <w:between w:val="nil"/>
        </w:pBdr>
        <w:tabs>
          <w:tab w:val="left" w:pos="432"/>
          <w:tab w:val="left" w:pos="1094"/>
          <w:tab w:val="center" w:pos="4598"/>
        </w:tabs>
        <w:spacing w:after="120" w:line="360" w:lineRule="auto"/>
        <w:jc w:val="both"/>
        <w:rPr>
          <w:rFonts w:ascii="Arial" w:eastAsia="Arial" w:hAnsi="Arial" w:cs="Arial"/>
          <w:color w:val="010000"/>
          <w:sz w:val="20"/>
          <w:szCs w:val="20"/>
        </w:rPr>
      </w:pPr>
      <w:r>
        <w:rPr>
          <w:rFonts w:ascii="Arial" w:hAnsi="Arial"/>
          <w:color w:val="010000"/>
          <w:sz w:val="20"/>
        </w:rPr>
        <w:t>Charter capital after the offering: VND 236,081,650,000</w:t>
      </w:r>
    </w:p>
    <w:p w14:paraId="00000033" w14:textId="77777777" w:rsidR="000A3312" w:rsidRDefault="00AA32C4" w:rsidP="00D625D1">
      <w:pPr>
        <w:numPr>
          <w:ilvl w:val="0"/>
          <w:numId w:val="1"/>
        </w:numPr>
        <w:pBdr>
          <w:top w:val="nil"/>
          <w:left w:val="nil"/>
          <w:bottom w:val="nil"/>
          <w:right w:val="nil"/>
          <w:between w:val="nil"/>
        </w:pBdr>
        <w:tabs>
          <w:tab w:val="left" w:pos="432"/>
          <w:tab w:val="left" w:pos="682"/>
        </w:tabs>
        <w:spacing w:after="120" w:line="360" w:lineRule="auto"/>
        <w:jc w:val="both"/>
        <w:rPr>
          <w:rFonts w:ascii="Arial" w:eastAsia="Arial" w:hAnsi="Arial" w:cs="Arial"/>
          <w:color w:val="010000"/>
          <w:sz w:val="20"/>
          <w:szCs w:val="20"/>
        </w:rPr>
      </w:pPr>
      <w:r>
        <w:rPr>
          <w:rFonts w:ascii="Arial" w:hAnsi="Arial"/>
          <w:color w:val="010000"/>
          <w:sz w:val="20"/>
        </w:rPr>
        <w:t xml:space="preserve">Method of issuance: </w:t>
      </w:r>
      <w:r>
        <w:rPr>
          <w:rFonts w:ascii="Arial" w:hAnsi="Arial"/>
          <w:color w:val="010000"/>
          <w:sz w:val="20"/>
        </w:rPr>
        <w:t>Use treasury shares to be offered privately to investors</w:t>
      </w:r>
    </w:p>
    <w:p w14:paraId="00000034" w14:textId="77777777" w:rsidR="000A3312" w:rsidRDefault="00AA32C4" w:rsidP="00D625D1">
      <w:pPr>
        <w:numPr>
          <w:ilvl w:val="0"/>
          <w:numId w:val="1"/>
        </w:numPr>
        <w:pBdr>
          <w:top w:val="nil"/>
          <w:left w:val="nil"/>
          <w:bottom w:val="nil"/>
          <w:right w:val="nil"/>
          <w:between w:val="nil"/>
        </w:pBdr>
        <w:tabs>
          <w:tab w:val="left" w:pos="432"/>
          <w:tab w:val="left" w:pos="682"/>
        </w:tabs>
        <w:spacing w:after="120" w:line="360" w:lineRule="auto"/>
        <w:jc w:val="both"/>
        <w:rPr>
          <w:rFonts w:ascii="Arial" w:eastAsia="Arial" w:hAnsi="Arial" w:cs="Arial"/>
          <w:color w:val="010000"/>
          <w:sz w:val="20"/>
          <w:szCs w:val="20"/>
        </w:rPr>
      </w:pPr>
      <w:r>
        <w:rPr>
          <w:rFonts w:ascii="Arial" w:hAnsi="Arial"/>
          <w:color w:val="010000"/>
          <w:sz w:val="20"/>
        </w:rPr>
        <w:t xml:space="preserve">Offering purposes: </w:t>
      </w:r>
      <w:r>
        <w:rPr>
          <w:rFonts w:ascii="Arial" w:hAnsi="Arial"/>
          <w:color w:val="010000"/>
          <w:sz w:val="20"/>
        </w:rPr>
        <w:t>Supplement working capital for production and business activities of the Company.</w:t>
      </w:r>
    </w:p>
    <w:p w14:paraId="00000035" w14:textId="34EACFD1" w:rsidR="000A3312" w:rsidRDefault="00AA32C4" w:rsidP="00D625D1">
      <w:pPr>
        <w:numPr>
          <w:ilvl w:val="0"/>
          <w:numId w:val="1"/>
        </w:numPr>
        <w:pBdr>
          <w:top w:val="nil"/>
          <w:left w:val="nil"/>
          <w:bottom w:val="nil"/>
          <w:right w:val="nil"/>
          <w:between w:val="nil"/>
        </w:pBdr>
        <w:tabs>
          <w:tab w:val="left" w:pos="432"/>
          <w:tab w:val="left" w:pos="678"/>
        </w:tabs>
        <w:spacing w:after="120" w:line="360" w:lineRule="auto"/>
        <w:jc w:val="both"/>
        <w:rPr>
          <w:rFonts w:ascii="Arial" w:eastAsia="Arial" w:hAnsi="Arial" w:cs="Arial"/>
          <w:color w:val="010000"/>
          <w:sz w:val="20"/>
          <w:szCs w:val="20"/>
        </w:rPr>
      </w:pPr>
      <w:r>
        <w:rPr>
          <w:rFonts w:ascii="Arial" w:hAnsi="Arial"/>
          <w:color w:val="010000"/>
          <w:sz w:val="20"/>
        </w:rPr>
        <w:t xml:space="preserve">Offering price: </w:t>
      </w:r>
      <w:r>
        <w:rPr>
          <w:rFonts w:ascii="Arial" w:hAnsi="Arial"/>
          <w:color w:val="010000"/>
          <w:sz w:val="20"/>
        </w:rPr>
        <w:t xml:space="preserve">The General Meeting </w:t>
      </w:r>
      <w:r>
        <w:rPr>
          <w:rFonts w:ascii="Arial" w:hAnsi="Arial"/>
          <w:color w:val="010000"/>
          <w:sz w:val="20"/>
        </w:rPr>
        <w:t>authorizes the Board of Directors to determine the offering p</w:t>
      </w:r>
      <w:r w:rsidR="00D625D1">
        <w:rPr>
          <w:rFonts w:ascii="Arial" w:hAnsi="Arial"/>
          <w:color w:val="010000"/>
          <w:sz w:val="20"/>
        </w:rPr>
        <w:t>rice in accordance with the aforementioned</w:t>
      </w:r>
      <w:r>
        <w:rPr>
          <w:rFonts w:ascii="Arial" w:hAnsi="Arial"/>
          <w:color w:val="010000"/>
          <w:sz w:val="20"/>
        </w:rPr>
        <w:t xml:space="preserve"> princip</w:t>
      </w:r>
      <w:r>
        <w:rPr>
          <w:rFonts w:ascii="Arial" w:hAnsi="Arial"/>
          <w:color w:val="010000"/>
          <w:sz w:val="20"/>
        </w:rPr>
        <w:t xml:space="preserve">les of determining the offering price and in </w:t>
      </w:r>
      <w:r>
        <w:rPr>
          <w:rFonts w:ascii="Arial" w:hAnsi="Arial"/>
          <w:color w:val="010000"/>
          <w:sz w:val="20"/>
        </w:rPr>
        <w:lastRenderedPageBreak/>
        <w:t>accordance with the provisions of law.</w:t>
      </w:r>
    </w:p>
    <w:p w14:paraId="00000036" w14:textId="77777777" w:rsidR="000A3312" w:rsidRDefault="00AA32C4" w:rsidP="00D625D1">
      <w:pPr>
        <w:numPr>
          <w:ilvl w:val="0"/>
          <w:numId w:val="1"/>
        </w:numPr>
        <w:pBdr>
          <w:top w:val="nil"/>
          <w:left w:val="nil"/>
          <w:bottom w:val="nil"/>
          <w:right w:val="nil"/>
          <w:between w:val="nil"/>
        </w:pBdr>
        <w:tabs>
          <w:tab w:val="left" w:pos="432"/>
          <w:tab w:val="left" w:pos="678"/>
        </w:tabs>
        <w:spacing w:after="120" w:line="360" w:lineRule="auto"/>
        <w:jc w:val="both"/>
        <w:rPr>
          <w:rFonts w:ascii="Arial" w:eastAsia="Arial" w:hAnsi="Arial" w:cs="Arial"/>
          <w:color w:val="010000"/>
          <w:sz w:val="20"/>
          <w:szCs w:val="20"/>
        </w:rPr>
      </w:pPr>
      <w:r>
        <w:rPr>
          <w:rFonts w:ascii="Arial" w:hAnsi="Arial"/>
          <w:color w:val="010000"/>
          <w:sz w:val="20"/>
        </w:rPr>
        <w:t>Total offering value at par value: VND 9,700,000,000.</w:t>
      </w:r>
    </w:p>
    <w:p w14:paraId="00000037" w14:textId="77777777" w:rsidR="000A3312" w:rsidRDefault="00AA32C4" w:rsidP="00D625D1">
      <w:pPr>
        <w:numPr>
          <w:ilvl w:val="0"/>
          <w:numId w:val="1"/>
        </w:numPr>
        <w:pBdr>
          <w:top w:val="nil"/>
          <w:left w:val="nil"/>
          <w:bottom w:val="nil"/>
          <w:right w:val="nil"/>
          <w:between w:val="nil"/>
        </w:pBdr>
        <w:tabs>
          <w:tab w:val="left" w:pos="432"/>
          <w:tab w:val="left" w:pos="678"/>
        </w:tabs>
        <w:spacing w:after="120" w:line="360" w:lineRule="auto"/>
        <w:jc w:val="both"/>
        <w:rPr>
          <w:rFonts w:ascii="Arial" w:eastAsia="Arial" w:hAnsi="Arial" w:cs="Arial"/>
          <w:color w:val="010000"/>
          <w:sz w:val="20"/>
          <w:szCs w:val="20"/>
        </w:rPr>
      </w:pPr>
      <w:r>
        <w:rPr>
          <w:rFonts w:ascii="Arial" w:hAnsi="Arial"/>
          <w:color w:val="010000"/>
          <w:sz w:val="20"/>
        </w:rPr>
        <w:t xml:space="preserve">Eligible buyers: </w:t>
      </w:r>
      <w:r>
        <w:rPr>
          <w:rFonts w:ascii="Arial" w:hAnsi="Arial"/>
          <w:color w:val="010000"/>
          <w:sz w:val="20"/>
        </w:rPr>
        <w:t>Professional securities investors</w:t>
      </w:r>
    </w:p>
    <w:p w14:paraId="00000038" w14:textId="77777777" w:rsidR="000A3312" w:rsidRDefault="00AA32C4" w:rsidP="00D625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Criteria for investor selection:</w:t>
      </w:r>
      <w:r>
        <w:rPr>
          <w:rFonts w:ascii="Arial" w:hAnsi="Arial"/>
          <w:color w:val="010000"/>
          <w:sz w:val="20"/>
        </w:rPr>
        <w:t xml:space="preserve"> </w:t>
      </w:r>
      <w:r>
        <w:rPr>
          <w:rFonts w:ascii="Arial" w:hAnsi="Arial"/>
          <w:color w:val="010000"/>
          <w:sz w:val="20"/>
        </w:rPr>
        <w:t>Domestic organizations and individuals with financial potential and meeting the conditions of professional securities investors.</w:t>
      </w:r>
    </w:p>
    <w:p w14:paraId="00000039" w14:textId="77777777" w:rsidR="000A3312" w:rsidRDefault="00AA32C4" w:rsidP="00D625D1">
      <w:pPr>
        <w:numPr>
          <w:ilvl w:val="0"/>
          <w:numId w:val="6"/>
        </w:numPr>
        <w:pBdr>
          <w:top w:val="nil"/>
          <w:left w:val="nil"/>
          <w:bottom w:val="nil"/>
          <w:right w:val="nil"/>
          <w:between w:val="nil"/>
        </w:pBdr>
        <w:tabs>
          <w:tab w:val="left" w:pos="432"/>
          <w:tab w:val="left" w:pos="1092"/>
        </w:tabs>
        <w:spacing w:after="120" w:line="360" w:lineRule="auto"/>
        <w:jc w:val="both"/>
        <w:rPr>
          <w:rFonts w:ascii="Arial" w:eastAsia="Arial" w:hAnsi="Arial" w:cs="Arial"/>
          <w:color w:val="010000"/>
          <w:sz w:val="20"/>
          <w:szCs w:val="20"/>
        </w:rPr>
      </w:pPr>
      <w:r>
        <w:rPr>
          <w:rFonts w:ascii="Arial" w:hAnsi="Arial"/>
          <w:color w:val="010000"/>
          <w:sz w:val="20"/>
        </w:rPr>
        <w:t>Quantity: No more than 100 professional securities investors</w:t>
      </w:r>
    </w:p>
    <w:p w14:paraId="0000003A" w14:textId="77777777" w:rsidR="000A3312" w:rsidRDefault="00AA32C4" w:rsidP="00D625D1">
      <w:pPr>
        <w:numPr>
          <w:ilvl w:val="0"/>
          <w:numId w:val="6"/>
        </w:numPr>
        <w:pBdr>
          <w:top w:val="nil"/>
          <w:left w:val="nil"/>
          <w:bottom w:val="nil"/>
          <w:right w:val="nil"/>
          <w:between w:val="nil"/>
        </w:pBdr>
        <w:tabs>
          <w:tab w:val="left" w:pos="432"/>
          <w:tab w:val="left" w:pos="1092"/>
        </w:tabs>
        <w:spacing w:after="120" w:line="360" w:lineRule="auto"/>
        <w:jc w:val="both"/>
        <w:rPr>
          <w:rFonts w:ascii="Arial" w:eastAsia="Arial" w:hAnsi="Arial" w:cs="Arial"/>
          <w:color w:val="010000"/>
          <w:sz w:val="20"/>
          <w:szCs w:val="20"/>
        </w:rPr>
      </w:pPr>
      <w:r>
        <w:rPr>
          <w:rFonts w:ascii="Arial" w:hAnsi="Arial"/>
          <w:color w:val="010000"/>
          <w:sz w:val="20"/>
        </w:rPr>
        <w:t>Eligible buyers:</w:t>
      </w:r>
    </w:p>
    <w:p w14:paraId="0000003B" w14:textId="071D1768" w:rsidR="000A3312" w:rsidRDefault="00AA32C4" w:rsidP="00D625D1">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Assign the Board of Directors to select investors that meet the conditions of professional securities investors </w:t>
      </w:r>
      <w:r w:rsidR="00D625D1">
        <w:rPr>
          <w:rFonts w:ascii="Arial" w:hAnsi="Arial"/>
          <w:color w:val="010000"/>
          <w:sz w:val="20"/>
        </w:rPr>
        <w:t>under applicable laws</w:t>
      </w:r>
      <w:r>
        <w:rPr>
          <w:rFonts w:ascii="Arial" w:hAnsi="Arial"/>
          <w:color w:val="010000"/>
          <w:sz w:val="20"/>
        </w:rPr>
        <w:t>.</w:t>
      </w:r>
    </w:p>
    <w:p w14:paraId="0000003C" w14:textId="77777777" w:rsidR="000A3312" w:rsidRDefault="00AA32C4" w:rsidP="00D625D1">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Assign the Board of Directors to determine the number of shares distributed to each professional securities investor.</w:t>
      </w:r>
    </w:p>
    <w:p w14:paraId="0000003D" w14:textId="77777777" w:rsidR="000A3312" w:rsidRDefault="00AA32C4" w:rsidP="00D625D1">
      <w:pPr>
        <w:numPr>
          <w:ilvl w:val="0"/>
          <w:numId w:val="1"/>
        </w:numPr>
        <w:pBdr>
          <w:top w:val="nil"/>
          <w:left w:val="nil"/>
          <w:bottom w:val="nil"/>
          <w:right w:val="nil"/>
          <w:between w:val="nil"/>
        </w:pBdr>
        <w:tabs>
          <w:tab w:val="left" w:pos="432"/>
          <w:tab w:val="left" w:pos="678"/>
        </w:tabs>
        <w:spacing w:after="120" w:line="360" w:lineRule="auto"/>
        <w:jc w:val="both"/>
        <w:rPr>
          <w:rFonts w:ascii="Arial" w:eastAsia="Arial" w:hAnsi="Arial" w:cs="Arial"/>
          <w:color w:val="010000"/>
          <w:sz w:val="20"/>
          <w:szCs w:val="20"/>
        </w:rPr>
      </w:pPr>
      <w:r>
        <w:rPr>
          <w:rFonts w:ascii="Arial" w:hAnsi="Arial"/>
          <w:color w:val="010000"/>
          <w:sz w:val="20"/>
        </w:rPr>
        <w:t>Rate</w:t>
      </w:r>
      <w:r>
        <w:rPr>
          <w:rFonts w:ascii="Arial" w:hAnsi="Arial"/>
          <w:color w:val="010000"/>
          <w:sz w:val="20"/>
        </w:rPr>
        <w:t xml:space="preserve"> of number of issued shares (The number of shares expected to be issued/The number of outstanding shares):</w:t>
      </w:r>
      <w:r>
        <w:rPr>
          <w:rFonts w:ascii="Arial" w:hAnsi="Arial"/>
          <w:color w:val="010000"/>
          <w:sz w:val="20"/>
        </w:rPr>
        <w:t xml:space="preserve"> 4.28%.</w:t>
      </w:r>
    </w:p>
    <w:p w14:paraId="0000003E" w14:textId="04582BB2" w:rsidR="000A3312" w:rsidRDefault="00AA32C4" w:rsidP="00D625D1">
      <w:pPr>
        <w:numPr>
          <w:ilvl w:val="0"/>
          <w:numId w:val="1"/>
        </w:numPr>
        <w:pBdr>
          <w:top w:val="nil"/>
          <w:left w:val="nil"/>
          <w:bottom w:val="nil"/>
          <w:right w:val="nil"/>
          <w:between w:val="nil"/>
        </w:pBdr>
        <w:tabs>
          <w:tab w:val="left" w:pos="432"/>
          <w:tab w:val="left" w:pos="678"/>
        </w:tabs>
        <w:spacing w:after="120" w:line="360" w:lineRule="auto"/>
        <w:jc w:val="both"/>
        <w:rPr>
          <w:rFonts w:ascii="Arial" w:eastAsia="Arial" w:hAnsi="Arial" w:cs="Arial"/>
          <w:color w:val="010000"/>
          <w:sz w:val="20"/>
          <w:szCs w:val="20"/>
        </w:rPr>
      </w:pPr>
      <w:r>
        <w:rPr>
          <w:rFonts w:ascii="Arial" w:hAnsi="Arial"/>
          <w:color w:val="010000"/>
          <w:sz w:val="20"/>
        </w:rPr>
        <w:t xml:space="preserve">Plan to handle undistributed shares: </w:t>
      </w:r>
      <w:r>
        <w:rPr>
          <w:rFonts w:ascii="Arial" w:hAnsi="Arial"/>
          <w:color w:val="010000"/>
          <w:sz w:val="20"/>
        </w:rPr>
        <w:t xml:space="preserve">The number of undistributed shares as expected will be assigned to the Board of Directors by the </w:t>
      </w:r>
      <w:r w:rsidR="00DB1E6C">
        <w:rPr>
          <w:rFonts w:ascii="Arial" w:hAnsi="Arial"/>
          <w:color w:val="010000"/>
          <w:sz w:val="20"/>
        </w:rPr>
        <w:t>General Meeting</w:t>
      </w:r>
      <w:r>
        <w:rPr>
          <w:rFonts w:ascii="Arial" w:hAnsi="Arial"/>
          <w:color w:val="010000"/>
          <w:sz w:val="20"/>
        </w:rPr>
        <w:t xml:space="preserve"> to make a decision on offering to domestic investors that meet the conditions of professional securities investors according to provisions of law with a selling price not lower than the above offering price and the offering conditio</w:t>
      </w:r>
      <w:r>
        <w:rPr>
          <w:rFonts w:ascii="Arial" w:hAnsi="Arial"/>
          <w:color w:val="010000"/>
          <w:sz w:val="20"/>
        </w:rPr>
        <w:t xml:space="preserve">ns approved by the </w:t>
      </w:r>
      <w:r w:rsidR="00DB1E6C">
        <w:rPr>
          <w:rFonts w:ascii="Arial" w:hAnsi="Arial"/>
          <w:color w:val="010000"/>
          <w:sz w:val="20"/>
        </w:rPr>
        <w:t>General Meeting</w:t>
      </w:r>
      <w:r>
        <w:rPr>
          <w:rFonts w:ascii="Arial" w:hAnsi="Arial"/>
          <w:color w:val="010000"/>
          <w:sz w:val="20"/>
        </w:rPr>
        <w:t>, in accordance with the provisions of law.</w:t>
      </w:r>
      <w:r>
        <w:rPr>
          <w:rFonts w:ascii="Arial" w:hAnsi="Arial"/>
          <w:color w:val="010000"/>
          <w:sz w:val="20"/>
        </w:rPr>
        <w:t xml:space="preserve"> </w:t>
      </w:r>
      <w:r>
        <w:rPr>
          <w:rFonts w:ascii="Arial" w:hAnsi="Arial"/>
          <w:color w:val="010000"/>
          <w:sz w:val="20"/>
        </w:rPr>
        <w:t xml:space="preserve">In case the Board of Directors cannot find suitable investors, the </w:t>
      </w:r>
      <w:r w:rsidR="00DB1E6C">
        <w:rPr>
          <w:rFonts w:ascii="Arial" w:hAnsi="Arial"/>
          <w:color w:val="010000"/>
          <w:sz w:val="20"/>
        </w:rPr>
        <w:t>General Meeting</w:t>
      </w:r>
      <w:r>
        <w:rPr>
          <w:rFonts w:ascii="Arial" w:hAnsi="Arial"/>
          <w:color w:val="010000"/>
          <w:sz w:val="20"/>
        </w:rPr>
        <w:t xml:space="preserve"> authorizes the Board of Directors to adjust to downwardly revis</w:t>
      </w:r>
      <w:r>
        <w:rPr>
          <w:rFonts w:ascii="Arial" w:hAnsi="Arial"/>
          <w:color w:val="010000"/>
          <w:sz w:val="20"/>
        </w:rPr>
        <w:t>e the number of shares offered in accordance with the number of realized distributed shares.</w:t>
      </w:r>
    </w:p>
    <w:p w14:paraId="0000003F" w14:textId="77777777" w:rsidR="000A3312" w:rsidRDefault="00AA32C4" w:rsidP="00D625D1">
      <w:pPr>
        <w:numPr>
          <w:ilvl w:val="0"/>
          <w:numId w:val="1"/>
        </w:numPr>
        <w:pBdr>
          <w:top w:val="nil"/>
          <w:left w:val="nil"/>
          <w:bottom w:val="nil"/>
          <w:right w:val="nil"/>
          <w:between w:val="nil"/>
        </w:pBdr>
        <w:tabs>
          <w:tab w:val="left" w:pos="432"/>
          <w:tab w:val="left" w:pos="678"/>
        </w:tabs>
        <w:spacing w:after="120" w:line="360" w:lineRule="auto"/>
        <w:jc w:val="both"/>
        <w:rPr>
          <w:rFonts w:ascii="Arial" w:eastAsia="Arial" w:hAnsi="Arial" w:cs="Arial"/>
          <w:color w:val="010000"/>
          <w:sz w:val="20"/>
          <w:szCs w:val="20"/>
        </w:rPr>
      </w:pPr>
      <w:r>
        <w:rPr>
          <w:rFonts w:ascii="Arial" w:hAnsi="Arial"/>
          <w:color w:val="010000"/>
          <w:sz w:val="20"/>
        </w:rPr>
        <w:t>Transfer restrictions:</w:t>
      </w:r>
      <w:r>
        <w:rPr>
          <w:rFonts w:ascii="Arial" w:hAnsi="Arial"/>
          <w:color w:val="010000"/>
          <w:sz w:val="20"/>
        </w:rPr>
        <w:t xml:space="preserve"> </w:t>
      </w:r>
      <w:r>
        <w:rPr>
          <w:rFonts w:ascii="Arial" w:hAnsi="Arial"/>
          <w:color w:val="010000"/>
          <w:sz w:val="20"/>
        </w:rPr>
        <w:t xml:space="preserve">These additional shares will be restricted from transfer within 01 </w:t>
      </w:r>
      <w:proofErr w:type="gramStart"/>
      <w:r>
        <w:rPr>
          <w:rFonts w:ascii="Arial" w:hAnsi="Arial"/>
          <w:color w:val="010000"/>
          <w:sz w:val="20"/>
        </w:rPr>
        <w:t>year</w:t>
      </w:r>
      <w:proofErr w:type="gramEnd"/>
      <w:r>
        <w:rPr>
          <w:rFonts w:ascii="Arial" w:hAnsi="Arial"/>
          <w:color w:val="010000"/>
          <w:sz w:val="20"/>
        </w:rPr>
        <w:t xml:space="preserve"> for professional securities investors from the date of completion of</w:t>
      </w:r>
      <w:r>
        <w:rPr>
          <w:rFonts w:ascii="Arial" w:hAnsi="Arial"/>
          <w:color w:val="010000"/>
          <w:sz w:val="20"/>
        </w:rPr>
        <w:t xml:space="preserve"> the offering, except in the case of transfer between professional securities investors or implementation in accordance with legal judgments, the Court's decision has come into force, Arbitration decision or inheritance according to the provisions of law.</w:t>
      </w:r>
    </w:p>
    <w:p w14:paraId="00000040" w14:textId="77777777" w:rsidR="000A3312" w:rsidRDefault="00AA32C4" w:rsidP="00D625D1">
      <w:pPr>
        <w:numPr>
          <w:ilvl w:val="0"/>
          <w:numId w:val="1"/>
        </w:numPr>
        <w:pBdr>
          <w:top w:val="nil"/>
          <w:left w:val="nil"/>
          <w:bottom w:val="nil"/>
          <w:right w:val="nil"/>
          <w:between w:val="nil"/>
        </w:pBdr>
        <w:tabs>
          <w:tab w:val="left" w:pos="432"/>
          <w:tab w:val="left" w:pos="678"/>
        </w:tabs>
        <w:spacing w:after="120" w:line="360" w:lineRule="auto"/>
        <w:jc w:val="both"/>
        <w:rPr>
          <w:rFonts w:ascii="Arial" w:eastAsia="Arial" w:hAnsi="Arial" w:cs="Arial"/>
          <w:color w:val="010000"/>
          <w:sz w:val="20"/>
          <w:szCs w:val="20"/>
        </w:rPr>
      </w:pPr>
      <w:r>
        <w:rPr>
          <w:rFonts w:ascii="Arial" w:hAnsi="Arial"/>
          <w:color w:val="010000"/>
          <w:sz w:val="20"/>
        </w:rPr>
        <w:t>Expected time for the offering:</w:t>
      </w:r>
      <w:r>
        <w:rPr>
          <w:rFonts w:ascii="Arial" w:hAnsi="Arial"/>
          <w:color w:val="010000"/>
          <w:sz w:val="20"/>
        </w:rPr>
        <w:t xml:space="preserve"> </w:t>
      </w:r>
      <w:r>
        <w:rPr>
          <w:rFonts w:ascii="Arial" w:hAnsi="Arial"/>
          <w:color w:val="010000"/>
          <w:sz w:val="20"/>
        </w:rPr>
        <w:t xml:space="preserve">Expected from Q2/2024; After the State Securities Commission has approved in writing and posted on the website of the State Securities Commission on the receipt of complete registration dossiers </w:t>
      </w:r>
      <w:proofErr w:type="spellStart"/>
      <w:r>
        <w:rPr>
          <w:rFonts w:ascii="Arial" w:hAnsi="Arial"/>
          <w:color w:val="010000"/>
          <w:sz w:val="20"/>
        </w:rPr>
        <w:t>forprivate</w:t>
      </w:r>
      <w:proofErr w:type="spellEnd"/>
      <w:r>
        <w:rPr>
          <w:rFonts w:ascii="Arial" w:hAnsi="Arial"/>
          <w:color w:val="010000"/>
          <w:sz w:val="20"/>
        </w:rPr>
        <w:t xml:space="preserve"> placement of the C</w:t>
      </w:r>
      <w:r>
        <w:rPr>
          <w:rFonts w:ascii="Arial" w:hAnsi="Arial"/>
          <w:color w:val="010000"/>
          <w:sz w:val="20"/>
        </w:rPr>
        <w:t>ompany.</w:t>
      </w:r>
    </w:p>
    <w:p w14:paraId="00000041" w14:textId="77777777" w:rsidR="000A3312" w:rsidRDefault="00AA32C4" w:rsidP="00D625D1">
      <w:pPr>
        <w:numPr>
          <w:ilvl w:val="0"/>
          <w:numId w:val="1"/>
        </w:numPr>
        <w:pBdr>
          <w:top w:val="nil"/>
          <w:left w:val="nil"/>
          <w:bottom w:val="nil"/>
          <w:right w:val="nil"/>
          <w:between w:val="nil"/>
        </w:pBdr>
        <w:tabs>
          <w:tab w:val="left" w:pos="432"/>
          <w:tab w:val="left" w:pos="705"/>
        </w:tabs>
        <w:spacing w:after="120" w:line="360" w:lineRule="auto"/>
        <w:jc w:val="both"/>
        <w:rPr>
          <w:rFonts w:ascii="Arial" w:eastAsia="Arial" w:hAnsi="Arial" w:cs="Arial"/>
          <w:color w:val="010000"/>
          <w:sz w:val="20"/>
          <w:szCs w:val="20"/>
        </w:rPr>
      </w:pPr>
      <w:r>
        <w:rPr>
          <w:rFonts w:ascii="Arial" w:hAnsi="Arial"/>
          <w:color w:val="010000"/>
          <w:sz w:val="20"/>
        </w:rPr>
        <w:t>The plan for using the proceeds from the offering:</w:t>
      </w:r>
      <w:r>
        <w:rPr>
          <w:rFonts w:ascii="Arial" w:hAnsi="Arial"/>
          <w:color w:val="010000"/>
          <w:sz w:val="20"/>
        </w:rPr>
        <w:t xml:space="preserve"> </w:t>
      </w:r>
      <w:r>
        <w:rPr>
          <w:rFonts w:ascii="Arial" w:hAnsi="Arial"/>
          <w:color w:val="010000"/>
          <w:sz w:val="20"/>
        </w:rPr>
        <w:t xml:space="preserve">All the proceeds from the offering will be used to pay partners for undergrounding the power grid and telecommunications cables in the project to upgrade Luong Dinh </w:t>
      </w:r>
      <w:proofErr w:type="spellStart"/>
      <w:r>
        <w:rPr>
          <w:rFonts w:ascii="Arial" w:hAnsi="Arial"/>
          <w:color w:val="010000"/>
          <w:sz w:val="20"/>
        </w:rPr>
        <w:t>Cua</w:t>
      </w:r>
      <w:proofErr w:type="spellEnd"/>
      <w:r>
        <w:rPr>
          <w:rFonts w:ascii="Arial" w:hAnsi="Arial"/>
          <w:color w:val="010000"/>
          <w:sz w:val="20"/>
        </w:rPr>
        <w:t xml:space="preserve"> Street, District 2.</w:t>
      </w:r>
    </w:p>
    <w:p w14:paraId="00000042" w14:textId="1E691A1A" w:rsidR="000A3312" w:rsidRDefault="00AA32C4" w:rsidP="00D625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DB1E6C">
        <w:rPr>
          <w:rFonts w:ascii="Arial" w:hAnsi="Arial"/>
          <w:color w:val="010000"/>
          <w:sz w:val="20"/>
        </w:rPr>
        <w:t>General Meeting</w:t>
      </w:r>
      <w:r>
        <w:rPr>
          <w:rFonts w:ascii="Arial" w:hAnsi="Arial"/>
          <w:color w:val="010000"/>
          <w:sz w:val="20"/>
        </w:rPr>
        <w:t xml:space="preserve"> authorizes the Board of Directors to decide on a detailed capital use plan in accordance with the capital use plan approved by the </w:t>
      </w:r>
      <w:r w:rsidR="00DB1E6C">
        <w:rPr>
          <w:rFonts w:ascii="Arial" w:hAnsi="Arial"/>
          <w:color w:val="010000"/>
          <w:sz w:val="20"/>
        </w:rPr>
        <w:t>General Meeting</w:t>
      </w:r>
      <w:r>
        <w:rPr>
          <w:rFonts w:ascii="Arial" w:hAnsi="Arial"/>
          <w:color w:val="010000"/>
          <w:sz w:val="20"/>
        </w:rPr>
        <w:t xml:space="preserve"> and the production and business activities of the Company</w:t>
      </w:r>
      <w:r>
        <w:rPr>
          <w:rFonts w:ascii="Arial" w:hAnsi="Arial"/>
          <w:color w:val="010000"/>
          <w:sz w:val="20"/>
        </w:rPr>
        <w:t xml:space="preserve">. </w:t>
      </w:r>
    </w:p>
    <w:p w14:paraId="00000043" w14:textId="77777777" w:rsidR="000A3312" w:rsidRDefault="00AA32C4" w:rsidP="00D625D1">
      <w:pPr>
        <w:numPr>
          <w:ilvl w:val="0"/>
          <w:numId w:val="1"/>
        </w:numPr>
        <w:pBdr>
          <w:top w:val="nil"/>
          <w:left w:val="nil"/>
          <w:bottom w:val="nil"/>
          <w:right w:val="nil"/>
          <w:between w:val="nil"/>
        </w:pBdr>
        <w:tabs>
          <w:tab w:val="left" w:pos="432"/>
          <w:tab w:val="left" w:pos="705"/>
        </w:tabs>
        <w:spacing w:after="120" w:line="360" w:lineRule="auto"/>
        <w:jc w:val="both"/>
        <w:rPr>
          <w:rFonts w:ascii="Arial" w:eastAsia="Arial" w:hAnsi="Arial" w:cs="Arial"/>
          <w:color w:val="010000"/>
          <w:sz w:val="20"/>
          <w:szCs w:val="20"/>
        </w:rPr>
      </w:pPr>
      <w:r>
        <w:rPr>
          <w:rFonts w:ascii="Arial" w:hAnsi="Arial"/>
          <w:color w:val="010000"/>
          <w:sz w:val="20"/>
        </w:rPr>
        <w:t>Plan for compensate for the shortage of capital expected to be mobilized from the offering:</w:t>
      </w:r>
    </w:p>
    <w:p w14:paraId="00000044" w14:textId="76A2DFDD" w:rsidR="000A3312" w:rsidRDefault="00AA32C4" w:rsidP="00D625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In case of not collecting enough capital according to Plan to sell treasury shares in the form of private offering, the </w:t>
      </w:r>
      <w:r w:rsidR="00DB1E6C">
        <w:rPr>
          <w:rFonts w:ascii="Arial" w:hAnsi="Arial"/>
          <w:color w:val="010000"/>
          <w:sz w:val="20"/>
        </w:rPr>
        <w:t>General Meeting</w:t>
      </w:r>
      <w:r>
        <w:rPr>
          <w:rFonts w:ascii="Arial" w:hAnsi="Arial"/>
          <w:color w:val="010000"/>
          <w:sz w:val="20"/>
        </w:rPr>
        <w:t xml:space="preserve"> authorize</w:t>
      </w:r>
      <w:r>
        <w:rPr>
          <w:rFonts w:ascii="Arial" w:hAnsi="Arial"/>
          <w:color w:val="010000"/>
          <w:sz w:val="20"/>
        </w:rPr>
        <w:t>s the Board of Directors to actively look for other additional funding sources are consistent with the Company’s actual situation and applicable laws</w:t>
      </w:r>
      <w:bookmarkStart w:id="0" w:name="_GoBack"/>
      <w:bookmarkEnd w:id="0"/>
      <w:r>
        <w:rPr>
          <w:rFonts w:ascii="Arial" w:hAnsi="Arial"/>
          <w:color w:val="010000"/>
          <w:sz w:val="20"/>
        </w:rPr>
        <w:t xml:space="preserve">. </w:t>
      </w:r>
    </w:p>
    <w:p w14:paraId="00000045" w14:textId="59917CDB" w:rsidR="000A3312" w:rsidRDefault="00AA32C4" w:rsidP="00D625D1">
      <w:pPr>
        <w:numPr>
          <w:ilvl w:val="0"/>
          <w:numId w:val="1"/>
        </w:numPr>
        <w:pBdr>
          <w:top w:val="nil"/>
          <w:left w:val="nil"/>
          <w:bottom w:val="nil"/>
          <w:right w:val="nil"/>
          <w:between w:val="nil"/>
        </w:pBdr>
        <w:tabs>
          <w:tab w:val="left" w:pos="432"/>
          <w:tab w:val="left" w:pos="705"/>
        </w:tabs>
        <w:spacing w:after="120" w:line="360" w:lineRule="auto"/>
        <w:jc w:val="both"/>
        <w:rPr>
          <w:rFonts w:ascii="Arial" w:eastAsia="Arial" w:hAnsi="Arial" w:cs="Arial"/>
          <w:color w:val="010000"/>
          <w:sz w:val="20"/>
          <w:szCs w:val="20"/>
        </w:rPr>
      </w:pPr>
      <w:r>
        <w:rPr>
          <w:rFonts w:ascii="Arial" w:hAnsi="Arial"/>
          <w:color w:val="010000"/>
          <w:sz w:val="20"/>
        </w:rPr>
        <w:t>Commit to put securities into trading on the organized securities market:</w:t>
      </w:r>
      <w:r>
        <w:rPr>
          <w:rFonts w:ascii="Arial" w:hAnsi="Arial"/>
          <w:color w:val="010000"/>
          <w:sz w:val="20"/>
        </w:rPr>
        <w:t xml:space="preserve"> In 2022 After the completion</w:t>
      </w:r>
      <w:r>
        <w:rPr>
          <w:rFonts w:ascii="Arial" w:hAnsi="Arial"/>
          <w:color w:val="010000"/>
          <w:sz w:val="20"/>
        </w:rPr>
        <w:t xml:space="preserve"> of the offering </w:t>
      </w:r>
      <w:r>
        <w:rPr>
          <w:rFonts w:ascii="Arial" w:hAnsi="Arial"/>
          <w:color w:val="010000"/>
          <w:sz w:val="20"/>
        </w:rPr>
        <w:t xml:space="preserve">The </w:t>
      </w:r>
      <w:r w:rsidR="00DB1E6C">
        <w:rPr>
          <w:rFonts w:ascii="Arial" w:hAnsi="Arial"/>
          <w:color w:val="010000"/>
          <w:sz w:val="20"/>
        </w:rPr>
        <w:t>General Meeting</w:t>
      </w:r>
      <w:r>
        <w:rPr>
          <w:rFonts w:ascii="Arial" w:hAnsi="Arial"/>
          <w:color w:val="010000"/>
          <w:sz w:val="20"/>
        </w:rPr>
        <w:t xml:space="preserve"> approves and authorizes the Board of Directors to implement procedures to transfer ownership and transfer type of share with Vietnam Securities Depository and Clearing Corporation (VSDC) </w:t>
      </w:r>
      <w:r w:rsidR="00DB1E6C">
        <w:rPr>
          <w:rFonts w:ascii="Arial" w:hAnsi="Arial"/>
          <w:color w:val="010000"/>
          <w:sz w:val="20"/>
        </w:rPr>
        <w:t>under applicable laws</w:t>
      </w:r>
      <w:r>
        <w:rPr>
          <w:rFonts w:ascii="Arial" w:hAnsi="Arial"/>
          <w:color w:val="010000"/>
          <w:sz w:val="20"/>
        </w:rPr>
        <w:t xml:space="preserve">. </w:t>
      </w:r>
    </w:p>
    <w:p w14:paraId="00000046" w14:textId="3FC80120" w:rsidR="000A3312" w:rsidRDefault="00AA32C4" w:rsidP="00D625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This General Mandate was approved by the Annual </w:t>
      </w:r>
      <w:r w:rsidR="00DB1E6C">
        <w:rPr>
          <w:rFonts w:ascii="Arial" w:hAnsi="Arial"/>
          <w:color w:val="010000"/>
          <w:sz w:val="20"/>
        </w:rPr>
        <w:t>General Meeting</w:t>
      </w:r>
      <w:r>
        <w:rPr>
          <w:rFonts w:ascii="Arial" w:hAnsi="Arial"/>
          <w:color w:val="010000"/>
          <w:sz w:val="20"/>
        </w:rPr>
        <w:t xml:space="preserve"> 2024 of Ho Chi Minh City Electric Power Trading Investment Corporation in full text at the Meeting. </w:t>
      </w:r>
      <w:r>
        <w:rPr>
          <w:rFonts w:ascii="Arial" w:hAnsi="Arial"/>
          <w:color w:val="010000"/>
          <w:sz w:val="20"/>
        </w:rPr>
        <w:t xml:space="preserve">The Board of Directors, </w:t>
      </w:r>
      <w:r w:rsidR="00DB1E6C">
        <w:rPr>
          <w:rFonts w:ascii="Arial" w:hAnsi="Arial"/>
          <w:color w:val="010000"/>
          <w:sz w:val="20"/>
        </w:rPr>
        <w:t>Executive Board</w:t>
      </w:r>
      <w:r>
        <w:rPr>
          <w:rFonts w:ascii="Arial" w:hAnsi="Arial"/>
          <w:color w:val="010000"/>
          <w:sz w:val="20"/>
        </w:rPr>
        <w:t xml:space="preserve"> and re</w:t>
      </w:r>
      <w:r>
        <w:rPr>
          <w:rFonts w:ascii="Arial" w:hAnsi="Arial"/>
          <w:color w:val="010000"/>
          <w:sz w:val="20"/>
        </w:rPr>
        <w:t>levant individuals are responsible for the implementation of this General Mandate.</w:t>
      </w:r>
    </w:p>
    <w:sectPr w:rsidR="000A3312">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0FEB"/>
    <w:multiLevelType w:val="multilevel"/>
    <w:tmpl w:val="E03CE420"/>
    <w:lvl w:ilvl="0">
      <w:numFmt w:val="bullet"/>
      <w:lvlText w:val="-"/>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1923AD"/>
    <w:multiLevelType w:val="multilevel"/>
    <w:tmpl w:val="BB042192"/>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834E7D"/>
    <w:multiLevelType w:val="multilevel"/>
    <w:tmpl w:val="9A461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A72AD3"/>
    <w:multiLevelType w:val="multilevel"/>
    <w:tmpl w:val="494418D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05A0747"/>
    <w:multiLevelType w:val="multilevel"/>
    <w:tmpl w:val="CCCC60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33C184B"/>
    <w:multiLevelType w:val="multilevel"/>
    <w:tmpl w:val="59A470E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FC74381"/>
    <w:multiLevelType w:val="multilevel"/>
    <w:tmpl w:val="EC506BF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4"/>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12"/>
    <w:rsid w:val="000A3312"/>
    <w:rsid w:val="00AA32C4"/>
    <w:rsid w:val="00D625D1"/>
    <w:rsid w:val="00DB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AB86"/>
  <w15:docId w15:val="{95193090-0690-4053-A373-073B20A8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color w:val="444445"/>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C46876"/>
      <w:sz w:val="16"/>
      <w:szCs w:val="1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54"/>
      <w:szCs w:val="54"/>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after="120" w:line="254" w:lineRule="auto"/>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after="180" w:line="235" w:lineRule="auto"/>
      <w:ind w:left="1900" w:hanging="280"/>
    </w:pPr>
    <w:rPr>
      <w:rFonts w:ascii="Times New Roman" w:eastAsia="Times New Roman" w:hAnsi="Times New Roman" w:cs="Times New Roman"/>
      <w:i/>
      <w:iCs/>
      <w:color w:val="444445"/>
      <w:sz w:val="26"/>
      <w:szCs w:val="26"/>
    </w:rPr>
  </w:style>
  <w:style w:type="paragraph" w:customStyle="1" w:styleId="Vnbnnidung30">
    <w:name w:val="Văn bản nội dung (3)"/>
    <w:basedOn w:val="Normal"/>
    <w:link w:val="Vnbnnidung3"/>
    <w:rPr>
      <w:rFonts w:ascii="Times New Roman" w:eastAsia="Times New Roman" w:hAnsi="Times New Roman" w:cs="Times New Roman"/>
      <w:color w:val="FF0000"/>
      <w:sz w:val="11"/>
      <w:szCs w:val="11"/>
    </w:rPr>
  </w:style>
  <w:style w:type="paragraph" w:customStyle="1" w:styleId="Vnbnnidung40">
    <w:name w:val="Văn bản nội dung (4)"/>
    <w:basedOn w:val="Normal"/>
    <w:link w:val="Vnbnnidung4"/>
    <w:pPr>
      <w:spacing w:line="288" w:lineRule="auto"/>
      <w:ind w:right="4270"/>
    </w:pPr>
    <w:rPr>
      <w:rFonts w:ascii="Arial" w:eastAsia="Arial" w:hAnsi="Arial" w:cs="Arial"/>
      <w:b/>
      <w:bCs/>
      <w:color w:val="C46876"/>
      <w:sz w:val="16"/>
      <w:szCs w:val="16"/>
    </w:rPr>
  </w:style>
  <w:style w:type="paragraph" w:customStyle="1" w:styleId="Vnbnnidung50">
    <w:name w:val="Văn bản nội dung (5)"/>
    <w:basedOn w:val="Normal"/>
    <w:link w:val="Vnbnnidung5"/>
    <w:pPr>
      <w:jc w:val="center"/>
    </w:pPr>
    <w:rPr>
      <w:rFonts w:ascii="Times New Roman" w:eastAsia="Times New Roman" w:hAnsi="Times New Roman" w:cs="Times New Roman"/>
      <w:sz w:val="20"/>
      <w:szCs w:val="20"/>
    </w:rPr>
  </w:style>
  <w:style w:type="paragraph" w:customStyle="1" w:styleId="Tiu10">
    <w:name w:val="Tiêu đề #1"/>
    <w:basedOn w:val="Normal"/>
    <w:link w:val="Tiu1"/>
    <w:pPr>
      <w:spacing w:line="180" w:lineRule="auto"/>
      <w:ind w:left="2420"/>
      <w:outlineLvl w:val="0"/>
    </w:pPr>
    <w:rPr>
      <w:rFonts w:ascii="Times New Roman" w:eastAsia="Times New Roman" w:hAnsi="Times New Roman" w:cs="Times New Roman"/>
      <w:smallCaps/>
      <w:sz w:val="54"/>
      <w:szCs w:val="54"/>
    </w:rPr>
  </w:style>
  <w:style w:type="paragraph" w:customStyle="1" w:styleId="Mclc0">
    <w:name w:val="Mục lục"/>
    <w:basedOn w:val="Normal"/>
    <w:link w:val="Mclc"/>
    <w:pPr>
      <w:spacing w:line="202" w:lineRule="auto"/>
      <w:ind w:firstLine="340"/>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hLQsV8jlJIFccMzAS6bc5DTP5A==">CgMxLjA4AHIhMTJfRDV4Wm8tZzFjb0Y2ckxVVTdIVlROLWlDWGw3SW1M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2024-05-03T10:44:00Z</dcterms:created>
  <dcterms:modified xsi:type="dcterms:W3CDTF">2024-05-03T10:44:00Z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5a0406c46e1b4cc536f2799ef25286f98df46cdb6f92a8e4b4e043ec41f9a057</vt:lpwstr>
  </property>
</Properties>
</file>