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E2A82" w14:textId="77777777" w:rsidR="00D5730C" w:rsidRDefault="00DD31C5" w:rsidP="00710546">
      <w:pPr>
        <w:pBdr>
          <w:top w:val="nil"/>
          <w:left w:val="nil"/>
          <w:bottom w:val="nil"/>
          <w:right w:val="nil"/>
          <w:between w:val="nil"/>
        </w:pBdr>
        <w:tabs>
          <w:tab w:val="left" w:pos="567"/>
        </w:tabs>
        <w:spacing w:after="120" w:line="360" w:lineRule="auto"/>
        <w:jc w:val="both"/>
        <w:rPr>
          <w:rFonts w:ascii="Arial" w:eastAsia="Arial" w:hAnsi="Arial" w:cs="Arial"/>
          <w:b/>
          <w:sz w:val="20"/>
          <w:szCs w:val="20"/>
        </w:rPr>
      </w:pPr>
      <w:r>
        <w:rPr>
          <w:rFonts w:ascii="Arial" w:hAnsi="Arial"/>
          <w:b/>
          <w:sz w:val="20"/>
        </w:rPr>
        <w:t>HTM: Annual General Mandate 2024</w:t>
      </w:r>
    </w:p>
    <w:p w14:paraId="71917D83" w14:textId="1C289260" w:rsidR="00D5730C" w:rsidRDefault="00DD31C5" w:rsidP="00710546">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On April 24, 2024,</w:t>
      </w:r>
      <w:r w:rsidR="009552E7">
        <w:rPr>
          <w:rFonts w:ascii="Arial" w:hAnsi="Arial"/>
          <w:sz w:val="20"/>
        </w:rPr>
        <w:t xml:space="preserve"> </w:t>
      </w:r>
      <w:r>
        <w:rPr>
          <w:rFonts w:ascii="Arial" w:hAnsi="Arial"/>
          <w:sz w:val="20"/>
        </w:rPr>
        <w:t>Hanoi Trade Joint Stock Corporation announced General Mandate as follows:</w:t>
      </w:r>
    </w:p>
    <w:p w14:paraId="758904F2" w14:textId="394036A5" w:rsidR="00D5730C" w:rsidRDefault="00DD31C5" w:rsidP="00710546">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‎‎Article 1. The Annual </w:t>
      </w:r>
      <w:r w:rsidR="00710546">
        <w:rPr>
          <w:rFonts w:ascii="Arial" w:hAnsi="Arial"/>
          <w:sz w:val="20"/>
        </w:rPr>
        <w:t>General Meeting</w:t>
      </w:r>
      <w:r>
        <w:rPr>
          <w:rFonts w:ascii="Arial" w:hAnsi="Arial"/>
          <w:sz w:val="20"/>
        </w:rPr>
        <w:t xml:space="preserve"> of the Company voted to approve the following General Mandates:</w:t>
      </w:r>
    </w:p>
    <w:p w14:paraId="248FC083" w14:textId="0486B06F" w:rsidR="00D5730C" w:rsidRDefault="00DD31C5" w:rsidP="00710546">
      <w:pPr>
        <w:numPr>
          <w:ilvl w:val="0"/>
          <w:numId w:val="2"/>
        </w:numPr>
        <w:pBdr>
          <w:top w:val="nil"/>
          <w:left w:val="nil"/>
          <w:bottom w:val="nil"/>
          <w:right w:val="nil"/>
          <w:between w:val="nil"/>
        </w:pBdr>
        <w:tabs>
          <w:tab w:val="left" w:pos="180"/>
          <w:tab w:val="left" w:pos="567"/>
        </w:tabs>
        <w:spacing w:after="120" w:line="360" w:lineRule="auto"/>
        <w:jc w:val="both"/>
        <w:rPr>
          <w:rFonts w:ascii="Arial" w:eastAsia="Arial" w:hAnsi="Arial" w:cs="Arial"/>
          <w:sz w:val="20"/>
          <w:szCs w:val="20"/>
        </w:rPr>
      </w:pPr>
      <w:r>
        <w:rPr>
          <w:rFonts w:ascii="Arial" w:hAnsi="Arial"/>
          <w:sz w:val="20"/>
        </w:rPr>
        <w:t xml:space="preserve">General Mandate 1: The </w:t>
      </w:r>
      <w:r w:rsidR="00710546">
        <w:rPr>
          <w:rFonts w:ascii="Arial" w:hAnsi="Arial"/>
          <w:sz w:val="20"/>
        </w:rPr>
        <w:t>General Meeting</w:t>
      </w:r>
      <w:r>
        <w:rPr>
          <w:rFonts w:ascii="Arial" w:hAnsi="Arial"/>
          <w:sz w:val="20"/>
        </w:rPr>
        <w:t xml:space="preserve"> approves the Report of the General Manager on production and </w:t>
      </w:r>
      <w:r w:rsidR="00710546">
        <w:rPr>
          <w:rFonts w:ascii="Arial" w:hAnsi="Arial"/>
          <w:sz w:val="20"/>
        </w:rPr>
        <w:t>business results in 2023 and</w:t>
      </w:r>
      <w:r>
        <w:rPr>
          <w:rFonts w:ascii="Arial" w:hAnsi="Arial"/>
          <w:sz w:val="20"/>
        </w:rPr>
        <w:t xml:space="preserve"> Production and business plan for 2024.</w:t>
      </w:r>
    </w:p>
    <w:p w14:paraId="39D91A29" w14:textId="77777777" w:rsidR="00D5730C" w:rsidRDefault="00DD31C5" w:rsidP="009552E7">
      <w:pPr>
        <w:pBdr>
          <w:top w:val="nil"/>
          <w:left w:val="nil"/>
          <w:bottom w:val="nil"/>
          <w:right w:val="nil"/>
          <w:between w:val="nil"/>
        </w:pBdr>
        <w:tabs>
          <w:tab w:val="left" w:pos="180"/>
          <w:tab w:val="left" w:pos="567"/>
        </w:tabs>
        <w:spacing w:after="120" w:line="360" w:lineRule="auto"/>
        <w:rPr>
          <w:rFonts w:ascii="Arial" w:eastAsia="Arial" w:hAnsi="Arial" w:cs="Arial"/>
          <w:sz w:val="20"/>
          <w:szCs w:val="20"/>
        </w:rPr>
      </w:pPr>
      <w:r>
        <w:rPr>
          <w:rFonts w:ascii="Arial" w:hAnsi="Arial"/>
          <w:sz w:val="20"/>
        </w:rPr>
        <w:t>Production and business results 2023;</w:t>
      </w:r>
    </w:p>
    <w:tbl>
      <w:tblPr>
        <w:tblStyle w:val="a"/>
        <w:tblW w:w="9015" w:type="dxa"/>
        <w:tblLayout w:type="fixed"/>
        <w:tblLook w:val="0000" w:firstRow="0" w:lastRow="0" w:firstColumn="0" w:lastColumn="0" w:noHBand="0" w:noVBand="0"/>
      </w:tblPr>
      <w:tblGrid>
        <w:gridCol w:w="493"/>
        <w:gridCol w:w="3202"/>
        <w:gridCol w:w="1131"/>
        <w:gridCol w:w="1154"/>
        <w:gridCol w:w="1158"/>
        <w:gridCol w:w="983"/>
        <w:gridCol w:w="894"/>
      </w:tblGrid>
      <w:tr w:rsidR="00D5730C" w14:paraId="47E91592" w14:textId="77777777">
        <w:trPr>
          <w:trHeight w:val="324"/>
        </w:trPr>
        <w:tc>
          <w:tcPr>
            <w:tcW w:w="494" w:type="dxa"/>
            <w:vMerge w:val="restart"/>
            <w:tcBorders>
              <w:top w:val="single" w:sz="4" w:space="0" w:color="000000"/>
              <w:left w:val="single" w:sz="4" w:space="0" w:color="000000"/>
            </w:tcBorders>
            <w:shd w:val="clear" w:color="auto" w:fill="FFFFFF"/>
            <w:tcMar>
              <w:top w:w="0" w:type="dxa"/>
              <w:bottom w:w="0" w:type="dxa"/>
            </w:tcMar>
            <w:vAlign w:val="center"/>
          </w:tcPr>
          <w:p w14:paraId="58CD760D"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No.</w:t>
            </w:r>
          </w:p>
        </w:tc>
        <w:tc>
          <w:tcPr>
            <w:tcW w:w="3202" w:type="dxa"/>
            <w:vMerge w:val="restart"/>
            <w:tcBorders>
              <w:top w:val="single" w:sz="4" w:space="0" w:color="000000"/>
              <w:left w:val="single" w:sz="4" w:space="0" w:color="000000"/>
            </w:tcBorders>
            <w:shd w:val="clear" w:color="auto" w:fill="FFFFFF"/>
            <w:tcMar>
              <w:top w:w="0" w:type="dxa"/>
              <w:bottom w:w="0" w:type="dxa"/>
            </w:tcMar>
            <w:vAlign w:val="center"/>
          </w:tcPr>
          <w:p w14:paraId="5D36C4C9" w14:textId="77777777" w:rsidR="00D5730C" w:rsidRDefault="00DD31C5" w:rsidP="009552E7">
            <w:pPr>
              <w:pBdr>
                <w:top w:val="nil"/>
                <w:left w:val="nil"/>
                <w:bottom w:val="nil"/>
                <w:right w:val="nil"/>
                <w:between w:val="nil"/>
              </w:pBdr>
              <w:tabs>
                <w:tab w:val="left" w:pos="567"/>
              </w:tabs>
              <w:spacing w:after="120" w:line="360" w:lineRule="auto"/>
              <w:ind w:firstLine="360"/>
              <w:jc w:val="center"/>
              <w:rPr>
                <w:rFonts w:ascii="Arial" w:eastAsia="Arial" w:hAnsi="Arial" w:cs="Arial"/>
                <w:sz w:val="20"/>
                <w:szCs w:val="20"/>
              </w:rPr>
            </w:pPr>
            <w:r>
              <w:rPr>
                <w:rFonts w:ascii="Arial" w:hAnsi="Arial"/>
                <w:sz w:val="20"/>
              </w:rPr>
              <w:t>Main targets:</w:t>
            </w:r>
          </w:p>
        </w:tc>
        <w:tc>
          <w:tcPr>
            <w:tcW w:w="1131" w:type="dxa"/>
            <w:vMerge w:val="restart"/>
            <w:tcBorders>
              <w:top w:val="single" w:sz="4" w:space="0" w:color="000000"/>
              <w:left w:val="single" w:sz="4" w:space="0" w:color="000000"/>
            </w:tcBorders>
            <w:shd w:val="clear" w:color="auto" w:fill="FFFFFF"/>
            <w:tcMar>
              <w:top w:w="0" w:type="dxa"/>
              <w:bottom w:w="0" w:type="dxa"/>
            </w:tcMar>
            <w:vAlign w:val="center"/>
          </w:tcPr>
          <w:p w14:paraId="19283AB9"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Results 2022</w:t>
            </w:r>
          </w:p>
        </w:tc>
        <w:tc>
          <w:tcPr>
            <w:tcW w:w="1154" w:type="dxa"/>
            <w:vMerge w:val="restart"/>
            <w:tcBorders>
              <w:top w:val="single" w:sz="4" w:space="0" w:color="000000"/>
              <w:left w:val="single" w:sz="4" w:space="0" w:color="000000"/>
            </w:tcBorders>
            <w:shd w:val="clear" w:color="auto" w:fill="FFFFFF"/>
            <w:tcMar>
              <w:top w:w="0" w:type="dxa"/>
              <w:bottom w:w="0" w:type="dxa"/>
            </w:tcMar>
            <w:vAlign w:val="center"/>
          </w:tcPr>
          <w:p w14:paraId="37618DAB"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Plan 2023</w:t>
            </w:r>
          </w:p>
        </w:tc>
        <w:tc>
          <w:tcPr>
            <w:tcW w:w="1158" w:type="dxa"/>
            <w:vMerge w:val="restart"/>
            <w:tcBorders>
              <w:top w:val="single" w:sz="4" w:space="0" w:color="000000"/>
              <w:left w:val="single" w:sz="4" w:space="0" w:color="000000"/>
            </w:tcBorders>
            <w:shd w:val="clear" w:color="auto" w:fill="FFFFFF"/>
            <w:tcMar>
              <w:top w:w="0" w:type="dxa"/>
              <w:bottom w:w="0" w:type="dxa"/>
            </w:tcMar>
            <w:vAlign w:val="bottom"/>
          </w:tcPr>
          <w:p w14:paraId="3484B762" w14:textId="77777777" w:rsidR="00D5730C" w:rsidRDefault="00DD31C5" w:rsidP="009552E7">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Results 2023</w:t>
            </w:r>
          </w:p>
        </w:tc>
        <w:tc>
          <w:tcPr>
            <w:tcW w:w="1877" w:type="dxa"/>
            <w:gridSpan w:val="2"/>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27BF168"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Comparison (%)</w:t>
            </w:r>
          </w:p>
        </w:tc>
      </w:tr>
      <w:tr w:rsidR="00D5730C" w14:paraId="701C20FC" w14:textId="77777777">
        <w:trPr>
          <w:trHeight w:val="529"/>
        </w:trPr>
        <w:tc>
          <w:tcPr>
            <w:tcW w:w="494" w:type="dxa"/>
            <w:vMerge/>
            <w:tcBorders>
              <w:top w:val="single" w:sz="4" w:space="0" w:color="000000"/>
              <w:left w:val="single" w:sz="4" w:space="0" w:color="000000"/>
            </w:tcBorders>
            <w:shd w:val="clear" w:color="auto" w:fill="FFFFFF"/>
            <w:tcMar>
              <w:top w:w="0" w:type="dxa"/>
              <w:bottom w:w="0" w:type="dxa"/>
            </w:tcMar>
            <w:vAlign w:val="center"/>
          </w:tcPr>
          <w:p w14:paraId="53ED665E" w14:textId="77777777" w:rsidR="00D5730C" w:rsidRDefault="00D5730C" w:rsidP="009552E7">
            <w:pPr>
              <w:pBdr>
                <w:top w:val="nil"/>
                <w:left w:val="nil"/>
                <w:bottom w:val="nil"/>
                <w:right w:val="nil"/>
                <w:between w:val="nil"/>
              </w:pBdr>
              <w:tabs>
                <w:tab w:val="left" w:pos="567"/>
              </w:tabs>
              <w:spacing w:line="276" w:lineRule="auto"/>
              <w:rPr>
                <w:rFonts w:ascii="Arial" w:eastAsia="Arial" w:hAnsi="Arial" w:cs="Arial"/>
                <w:sz w:val="20"/>
                <w:szCs w:val="20"/>
              </w:rPr>
            </w:pPr>
          </w:p>
        </w:tc>
        <w:tc>
          <w:tcPr>
            <w:tcW w:w="3202" w:type="dxa"/>
            <w:vMerge/>
            <w:tcBorders>
              <w:top w:val="single" w:sz="4" w:space="0" w:color="000000"/>
              <w:left w:val="single" w:sz="4" w:space="0" w:color="000000"/>
            </w:tcBorders>
            <w:shd w:val="clear" w:color="auto" w:fill="FFFFFF"/>
            <w:tcMar>
              <w:top w:w="0" w:type="dxa"/>
              <w:bottom w:w="0" w:type="dxa"/>
            </w:tcMar>
            <w:vAlign w:val="center"/>
          </w:tcPr>
          <w:p w14:paraId="557D064E" w14:textId="77777777" w:rsidR="00D5730C" w:rsidRDefault="00D5730C" w:rsidP="009552E7">
            <w:pPr>
              <w:pBdr>
                <w:top w:val="nil"/>
                <w:left w:val="nil"/>
                <w:bottom w:val="nil"/>
                <w:right w:val="nil"/>
                <w:between w:val="nil"/>
              </w:pBdr>
              <w:tabs>
                <w:tab w:val="left" w:pos="567"/>
              </w:tabs>
              <w:spacing w:line="276" w:lineRule="auto"/>
              <w:rPr>
                <w:rFonts w:ascii="Arial" w:eastAsia="Arial" w:hAnsi="Arial" w:cs="Arial"/>
                <w:sz w:val="20"/>
                <w:szCs w:val="20"/>
              </w:rPr>
            </w:pPr>
          </w:p>
        </w:tc>
        <w:tc>
          <w:tcPr>
            <w:tcW w:w="1131" w:type="dxa"/>
            <w:vMerge/>
            <w:tcBorders>
              <w:top w:val="single" w:sz="4" w:space="0" w:color="000000"/>
              <w:left w:val="single" w:sz="4" w:space="0" w:color="000000"/>
            </w:tcBorders>
            <w:shd w:val="clear" w:color="auto" w:fill="FFFFFF"/>
            <w:tcMar>
              <w:top w:w="0" w:type="dxa"/>
              <w:bottom w:w="0" w:type="dxa"/>
            </w:tcMar>
            <w:vAlign w:val="center"/>
          </w:tcPr>
          <w:p w14:paraId="3867B63A" w14:textId="77777777" w:rsidR="00D5730C" w:rsidRDefault="00D5730C" w:rsidP="009552E7">
            <w:pPr>
              <w:pBdr>
                <w:top w:val="nil"/>
                <w:left w:val="nil"/>
                <w:bottom w:val="nil"/>
                <w:right w:val="nil"/>
                <w:between w:val="nil"/>
              </w:pBdr>
              <w:tabs>
                <w:tab w:val="left" w:pos="567"/>
              </w:tabs>
              <w:spacing w:line="276" w:lineRule="auto"/>
              <w:rPr>
                <w:rFonts w:ascii="Arial" w:eastAsia="Arial" w:hAnsi="Arial" w:cs="Arial"/>
                <w:sz w:val="20"/>
                <w:szCs w:val="20"/>
              </w:rPr>
            </w:pPr>
          </w:p>
        </w:tc>
        <w:tc>
          <w:tcPr>
            <w:tcW w:w="1154" w:type="dxa"/>
            <w:vMerge/>
            <w:tcBorders>
              <w:top w:val="single" w:sz="4" w:space="0" w:color="000000"/>
              <w:left w:val="single" w:sz="4" w:space="0" w:color="000000"/>
            </w:tcBorders>
            <w:shd w:val="clear" w:color="auto" w:fill="FFFFFF"/>
            <w:tcMar>
              <w:top w:w="0" w:type="dxa"/>
              <w:bottom w:w="0" w:type="dxa"/>
            </w:tcMar>
            <w:vAlign w:val="center"/>
          </w:tcPr>
          <w:p w14:paraId="7DC6AB61" w14:textId="77777777" w:rsidR="00D5730C" w:rsidRDefault="00D5730C" w:rsidP="009552E7">
            <w:pPr>
              <w:pBdr>
                <w:top w:val="nil"/>
                <w:left w:val="nil"/>
                <w:bottom w:val="nil"/>
                <w:right w:val="nil"/>
                <w:between w:val="nil"/>
              </w:pBdr>
              <w:tabs>
                <w:tab w:val="left" w:pos="567"/>
              </w:tabs>
              <w:spacing w:line="276" w:lineRule="auto"/>
              <w:rPr>
                <w:rFonts w:ascii="Arial" w:eastAsia="Arial" w:hAnsi="Arial" w:cs="Arial"/>
                <w:sz w:val="20"/>
                <w:szCs w:val="20"/>
              </w:rPr>
            </w:pPr>
          </w:p>
        </w:tc>
        <w:tc>
          <w:tcPr>
            <w:tcW w:w="1158" w:type="dxa"/>
            <w:vMerge/>
            <w:tcBorders>
              <w:top w:val="single" w:sz="4" w:space="0" w:color="000000"/>
              <w:left w:val="single" w:sz="4" w:space="0" w:color="000000"/>
            </w:tcBorders>
            <w:shd w:val="clear" w:color="auto" w:fill="FFFFFF"/>
            <w:tcMar>
              <w:top w:w="0" w:type="dxa"/>
              <w:bottom w:w="0" w:type="dxa"/>
            </w:tcMar>
            <w:vAlign w:val="bottom"/>
          </w:tcPr>
          <w:p w14:paraId="49A9A00C" w14:textId="77777777" w:rsidR="00D5730C" w:rsidRDefault="00D5730C" w:rsidP="009552E7">
            <w:pPr>
              <w:pBdr>
                <w:top w:val="nil"/>
                <w:left w:val="nil"/>
                <w:bottom w:val="nil"/>
                <w:right w:val="nil"/>
                <w:between w:val="nil"/>
              </w:pBdr>
              <w:tabs>
                <w:tab w:val="left" w:pos="567"/>
              </w:tabs>
              <w:spacing w:line="276" w:lineRule="auto"/>
              <w:rPr>
                <w:rFonts w:ascii="Arial" w:eastAsia="Arial" w:hAnsi="Arial" w:cs="Arial"/>
                <w:sz w:val="20"/>
                <w:szCs w:val="20"/>
              </w:rPr>
            </w:pPr>
          </w:p>
        </w:tc>
        <w:tc>
          <w:tcPr>
            <w:tcW w:w="983" w:type="dxa"/>
            <w:tcBorders>
              <w:top w:val="single" w:sz="4" w:space="0" w:color="000000"/>
              <w:left w:val="single" w:sz="4" w:space="0" w:color="000000"/>
            </w:tcBorders>
            <w:shd w:val="clear" w:color="auto" w:fill="FFFFFF"/>
            <w:tcMar>
              <w:top w:w="0" w:type="dxa"/>
              <w:bottom w:w="0" w:type="dxa"/>
            </w:tcMar>
            <w:vAlign w:val="bottom"/>
          </w:tcPr>
          <w:p w14:paraId="0B6DD749"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Plan 2023</w:t>
            </w:r>
          </w:p>
        </w:tc>
        <w:tc>
          <w:tcPr>
            <w:tcW w:w="894"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0FE8C6B7"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Results 2022</w:t>
            </w:r>
          </w:p>
        </w:tc>
      </w:tr>
      <w:tr w:rsidR="00D5730C" w14:paraId="3FB18A70" w14:textId="77777777">
        <w:trPr>
          <w:trHeight w:val="302"/>
        </w:trPr>
        <w:tc>
          <w:tcPr>
            <w:tcW w:w="494" w:type="dxa"/>
            <w:tcBorders>
              <w:top w:val="single" w:sz="4" w:space="0" w:color="000000"/>
              <w:left w:val="single" w:sz="4" w:space="0" w:color="000000"/>
            </w:tcBorders>
            <w:shd w:val="clear" w:color="auto" w:fill="FFFFFF"/>
            <w:tcMar>
              <w:top w:w="0" w:type="dxa"/>
              <w:bottom w:w="0" w:type="dxa"/>
            </w:tcMar>
            <w:vAlign w:val="bottom"/>
          </w:tcPr>
          <w:p w14:paraId="022A60D5"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1</w:t>
            </w:r>
          </w:p>
        </w:tc>
        <w:tc>
          <w:tcPr>
            <w:tcW w:w="3202" w:type="dxa"/>
            <w:tcBorders>
              <w:top w:val="single" w:sz="4" w:space="0" w:color="000000"/>
              <w:left w:val="single" w:sz="4" w:space="0" w:color="000000"/>
            </w:tcBorders>
            <w:shd w:val="clear" w:color="auto" w:fill="FFFFFF"/>
            <w:tcMar>
              <w:top w:w="0" w:type="dxa"/>
              <w:bottom w:w="0" w:type="dxa"/>
            </w:tcMar>
            <w:vAlign w:val="bottom"/>
          </w:tcPr>
          <w:p w14:paraId="2ED17378" w14:textId="77777777" w:rsidR="00D5730C" w:rsidRDefault="00DD31C5" w:rsidP="009552E7">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Export turnover (USD million)</w:t>
            </w:r>
          </w:p>
        </w:tc>
        <w:tc>
          <w:tcPr>
            <w:tcW w:w="1131" w:type="dxa"/>
            <w:tcBorders>
              <w:top w:val="single" w:sz="4" w:space="0" w:color="000000"/>
              <w:left w:val="single" w:sz="4" w:space="0" w:color="000000"/>
            </w:tcBorders>
            <w:shd w:val="clear" w:color="auto" w:fill="FFFFFF"/>
            <w:tcMar>
              <w:top w:w="0" w:type="dxa"/>
              <w:bottom w:w="0" w:type="dxa"/>
            </w:tcMar>
            <w:vAlign w:val="bottom"/>
          </w:tcPr>
          <w:p w14:paraId="34477CE4"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1.81</w:t>
            </w:r>
          </w:p>
        </w:tc>
        <w:tc>
          <w:tcPr>
            <w:tcW w:w="1154" w:type="dxa"/>
            <w:tcBorders>
              <w:top w:val="single" w:sz="4" w:space="0" w:color="000000"/>
              <w:left w:val="single" w:sz="4" w:space="0" w:color="000000"/>
            </w:tcBorders>
            <w:shd w:val="clear" w:color="auto" w:fill="FFFFFF"/>
            <w:tcMar>
              <w:top w:w="0" w:type="dxa"/>
              <w:bottom w:w="0" w:type="dxa"/>
            </w:tcMar>
            <w:vAlign w:val="bottom"/>
          </w:tcPr>
          <w:p w14:paraId="358F0D72"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13.00</w:t>
            </w:r>
          </w:p>
        </w:tc>
        <w:tc>
          <w:tcPr>
            <w:tcW w:w="1158" w:type="dxa"/>
            <w:tcBorders>
              <w:top w:val="single" w:sz="4" w:space="0" w:color="000000"/>
              <w:left w:val="single" w:sz="4" w:space="0" w:color="000000"/>
            </w:tcBorders>
            <w:shd w:val="clear" w:color="auto" w:fill="FFFFFF"/>
            <w:tcMar>
              <w:top w:w="0" w:type="dxa"/>
              <w:bottom w:w="0" w:type="dxa"/>
            </w:tcMar>
            <w:vAlign w:val="bottom"/>
          </w:tcPr>
          <w:p w14:paraId="4C03A75B"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1.94</w:t>
            </w:r>
          </w:p>
        </w:tc>
        <w:tc>
          <w:tcPr>
            <w:tcW w:w="983" w:type="dxa"/>
            <w:tcBorders>
              <w:top w:val="single" w:sz="4" w:space="0" w:color="000000"/>
              <w:left w:val="single" w:sz="4" w:space="0" w:color="000000"/>
            </w:tcBorders>
            <w:shd w:val="clear" w:color="auto" w:fill="FFFFFF"/>
            <w:tcMar>
              <w:top w:w="0" w:type="dxa"/>
              <w:bottom w:w="0" w:type="dxa"/>
            </w:tcMar>
            <w:vAlign w:val="bottom"/>
          </w:tcPr>
          <w:p w14:paraId="433818D6"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15%</w:t>
            </w:r>
          </w:p>
        </w:tc>
        <w:tc>
          <w:tcPr>
            <w:tcW w:w="894"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A1DAE38"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107%</w:t>
            </w:r>
          </w:p>
        </w:tc>
      </w:tr>
      <w:tr w:rsidR="00D5730C" w14:paraId="4E3B145F" w14:textId="77777777">
        <w:trPr>
          <w:trHeight w:val="533"/>
        </w:trPr>
        <w:tc>
          <w:tcPr>
            <w:tcW w:w="494" w:type="dxa"/>
            <w:tcBorders>
              <w:top w:val="single" w:sz="4" w:space="0" w:color="000000"/>
              <w:left w:val="single" w:sz="4" w:space="0" w:color="000000"/>
            </w:tcBorders>
            <w:shd w:val="clear" w:color="auto" w:fill="FFFFFF"/>
            <w:tcMar>
              <w:top w:w="0" w:type="dxa"/>
              <w:bottom w:w="0" w:type="dxa"/>
            </w:tcMar>
            <w:vAlign w:val="center"/>
          </w:tcPr>
          <w:p w14:paraId="1918BA57"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2</w:t>
            </w:r>
          </w:p>
        </w:tc>
        <w:tc>
          <w:tcPr>
            <w:tcW w:w="3202" w:type="dxa"/>
            <w:tcBorders>
              <w:top w:val="single" w:sz="4" w:space="0" w:color="000000"/>
              <w:left w:val="single" w:sz="4" w:space="0" w:color="000000"/>
            </w:tcBorders>
            <w:shd w:val="clear" w:color="auto" w:fill="FFFFFF"/>
            <w:tcMar>
              <w:top w:w="0" w:type="dxa"/>
              <w:bottom w:w="0" w:type="dxa"/>
            </w:tcMar>
          </w:tcPr>
          <w:p w14:paraId="64B1524D" w14:textId="77777777" w:rsidR="00D5730C" w:rsidRDefault="00DD31C5" w:rsidP="009552E7">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Net revenue (billion VND)</w:t>
            </w:r>
          </w:p>
        </w:tc>
        <w:tc>
          <w:tcPr>
            <w:tcW w:w="1131" w:type="dxa"/>
            <w:tcBorders>
              <w:top w:val="single" w:sz="4" w:space="0" w:color="000000"/>
              <w:left w:val="single" w:sz="4" w:space="0" w:color="000000"/>
            </w:tcBorders>
            <w:shd w:val="clear" w:color="auto" w:fill="FFFFFF"/>
            <w:tcMar>
              <w:top w:w="0" w:type="dxa"/>
              <w:bottom w:w="0" w:type="dxa"/>
            </w:tcMar>
            <w:vAlign w:val="center"/>
          </w:tcPr>
          <w:p w14:paraId="01AF44BE"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348.16</w:t>
            </w:r>
          </w:p>
        </w:tc>
        <w:tc>
          <w:tcPr>
            <w:tcW w:w="1154" w:type="dxa"/>
            <w:tcBorders>
              <w:top w:val="single" w:sz="4" w:space="0" w:color="000000"/>
              <w:left w:val="single" w:sz="4" w:space="0" w:color="000000"/>
            </w:tcBorders>
            <w:shd w:val="clear" w:color="auto" w:fill="FFFFFF"/>
            <w:tcMar>
              <w:top w:w="0" w:type="dxa"/>
              <w:bottom w:w="0" w:type="dxa"/>
            </w:tcMar>
            <w:vAlign w:val="center"/>
          </w:tcPr>
          <w:p w14:paraId="3BECEEA9"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660.72</w:t>
            </w:r>
          </w:p>
        </w:tc>
        <w:tc>
          <w:tcPr>
            <w:tcW w:w="1158" w:type="dxa"/>
            <w:tcBorders>
              <w:top w:val="single" w:sz="4" w:space="0" w:color="000000"/>
              <w:left w:val="single" w:sz="4" w:space="0" w:color="000000"/>
            </w:tcBorders>
            <w:shd w:val="clear" w:color="auto" w:fill="FFFFFF"/>
            <w:tcMar>
              <w:top w:w="0" w:type="dxa"/>
              <w:bottom w:w="0" w:type="dxa"/>
            </w:tcMar>
            <w:vAlign w:val="center"/>
          </w:tcPr>
          <w:p w14:paraId="0B8CA7BC" w14:textId="77777777" w:rsidR="00D5730C" w:rsidRDefault="00DD31C5" w:rsidP="009552E7">
            <w:pPr>
              <w:pBdr>
                <w:top w:val="nil"/>
                <w:left w:val="nil"/>
                <w:bottom w:val="nil"/>
                <w:right w:val="nil"/>
                <w:between w:val="nil"/>
              </w:pBdr>
              <w:tabs>
                <w:tab w:val="left" w:pos="567"/>
              </w:tabs>
              <w:spacing w:after="120" w:line="360" w:lineRule="auto"/>
              <w:ind w:firstLine="360"/>
              <w:jc w:val="center"/>
              <w:rPr>
                <w:rFonts w:ascii="Arial" w:eastAsia="Arial" w:hAnsi="Arial" w:cs="Arial"/>
                <w:sz w:val="20"/>
                <w:szCs w:val="20"/>
              </w:rPr>
            </w:pPr>
            <w:r>
              <w:rPr>
                <w:rFonts w:ascii="Arial" w:hAnsi="Arial"/>
                <w:sz w:val="20"/>
              </w:rPr>
              <w:t>397.1</w:t>
            </w:r>
          </w:p>
        </w:tc>
        <w:tc>
          <w:tcPr>
            <w:tcW w:w="983" w:type="dxa"/>
            <w:tcBorders>
              <w:top w:val="single" w:sz="4" w:space="0" w:color="000000"/>
              <w:left w:val="single" w:sz="4" w:space="0" w:color="000000"/>
            </w:tcBorders>
            <w:shd w:val="clear" w:color="auto" w:fill="FFFFFF"/>
            <w:tcMar>
              <w:top w:w="0" w:type="dxa"/>
              <w:bottom w:w="0" w:type="dxa"/>
            </w:tcMar>
            <w:vAlign w:val="center"/>
          </w:tcPr>
          <w:p w14:paraId="2E0B95B7"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60%</w:t>
            </w:r>
          </w:p>
        </w:tc>
        <w:tc>
          <w:tcPr>
            <w:tcW w:w="89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D7B4CB9"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114%</w:t>
            </w:r>
          </w:p>
        </w:tc>
      </w:tr>
      <w:tr w:rsidR="00D5730C" w14:paraId="7EF1EAF1" w14:textId="77777777">
        <w:trPr>
          <w:trHeight w:val="302"/>
        </w:trPr>
        <w:tc>
          <w:tcPr>
            <w:tcW w:w="494" w:type="dxa"/>
            <w:tcBorders>
              <w:top w:val="single" w:sz="4" w:space="0" w:color="000000"/>
              <w:left w:val="single" w:sz="4" w:space="0" w:color="000000"/>
            </w:tcBorders>
            <w:shd w:val="clear" w:color="auto" w:fill="FFFFFF"/>
            <w:tcMar>
              <w:top w:w="0" w:type="dxa"/>
              <w:bottom w:w="0" w:type="dxa"/>
            </w:tcMar>
            <w:vAlign w:val="bottom"/>
          </w:tcPr>
          <w:p w14:paraId="4B895F12"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3</w:t>
            </w:r>
          </w:p>
        </w:tc>
        <w:tc>
          <w:tcPr>
            <w:tcW w:w="3202" w:type="dxa"/>
            <w:tcBorders>
              <w:top w:val="single" w:sz="4" w:space="0" w:color="000000"/>
              <w:left w:val="single" w:sz="4" w:space="0" w:color="000000"/>
            </w:tcBorders>
            <w:shd w:val="clear" w:color="auto" w:fill="FFFFFF"/>
            <w:tcMar>
              <w:top w:w="0" w:type="dxa"/>
              <w:bottom w:w="0" w:type="dxa"/>
            </w:tcMar>
            <w:vAlign w:val="bottom"/>
          </w:tcPr>
          <w:p w14:paraId="70111838" w14:textId="77777777" w:rsidR="00D5730C" w:rsidRDefault="00DD31C5" w:rsidP="009552E7">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Profit before tax (billion VND)</w:t>
            </w:r>
          </w:p>
        </w:tc>
        <w:tc>
          <w:tcPr>
            <w:tcW w:w="1131" w:type="dxa"/>
            <w:tcBorders>
              <w:top w:val="single" w:sz="4" w:space="0" w:color="000000"/>
              <w:left w:val="single" w:sz="4" w:space="0" w:color="000000"/>
            </w:tcBorders>
            <w:shd w:val="clear" w:color="auto" w:fill="FFFFFF"/>
            <w:tcMar>
              <w:top w:w="0" w:type="dxa"/>
              <w:bottom w:w="0" w:type="dxa"/>
            </w:tcMar>
            <w:vAlign w:val="bottom"/>
          </w:tcPr>
          <w:p w14:paraId="5ADAFEA6"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(20.22)</w:t>
            </w:r>
          </w:p>
        </w:tc>
        <w:tc>
          <w:tcPr>
            <w:tcW w:w="1154" w:type="dxa"/>
            <w:tcBorders>
              <w:top w:val="single" w:sz="4" w:space="0" w:color="000000"/>
              <w:left w:val="single" w:sz="4" w:space="0" w:color="000000"/>
            </w:tcBorders>
            <w:shd w:val="clear" w:color="auto" w:fill="FFFFFF"/>
            <w:tcMar>
              <w:top w:w="0" w:type="dxa"/>
              <w:bottom w:w="0" w:type="dxa"/>
            </w:tcMar>
            <w:vAlign w:val="bottom"/>
          </w:tcPr>
          <w:p w14:paraId="1E680C22"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11.06</w:t>
            </w:r>
          </w:p>
        </w:tc>
        <w:tc>
          <w:tcPr>
            <w:tcW w:w="1158" w:type="dxa"/>
            <w:tcBorders>
              <w:top w:val="single" w:sz="4" w:space="0" w:color="000000"/>
              <w:left w:val="single" w:sz="4" w:space="0" w:color="000000"/>
            </w:tcBorders>
            <w:shd w:val="clear" w:color="auto" w:fill="FFFFFF"/>
            <w:tcMar>
              <w:top w:w="0" w:type="dxa"/>
              <w:bottom w:w="0" w:type="dxa"/>
            </w:tcMar>
            <w:vAlign w:val="bottom"/>
          </w:tcPr>
          <w:p w14:paraId="18A6486D"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(24.86)</w:t>
            </w:r>
          </w:p>
        </w:tc>
        <w:tc>
          <w:tcPr>
            <w:tcW w:w="983" w:type="dxa"/>
            <w:tcBorders>
              <w:top w:val="single" w:sz="4" w:space="0" w:color="000000"/>
              <w:left w:val="single" w:sz="4" w:space="0" w:color="000000"/>
            </w:tcBorders>
            <w:shd w:val="clear" w:color="auto" w:fill="FFFFFF"/>
            <w:tcMar>
              <w:top w:w="0" w:type="dxa"/>
              <w:bottom w:w="0" w:type="dxa"/>
            </w:tcMar>
            <w:vAlign w:val="bottom"/>
          </w:tcPr>
          <w:p w14:paraId="3E35296E"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w:t>
            </w:r>
          </w:p>
        </w:tc>
        <w:tc>
          <w:tcPr>
            <w:tcW w:w="894"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88344C5"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w:t>
            </w:r>
          </w:p>
        </w:tc>
      </w:tr>
      <w:tr w:rsidR="00D5730C" w14:paraId="63CB9794" w14:textId="77777777">
        <w:trPr>
          <w:trHeight w:val="522"/>
        </w:trPr>
        <w:tc>
          <w:tcPr>
            <w:tcW w:w="494" w:type="dxa"/>
            <w:tcBorders>
              <w:top w:val="single" w:sz="4" w:space="0" w:color="000000"/>
              <w:left w:val="single" w:sz="4" w:space="0" w:color="000000"/>
            </w:tcBorders>
            <w:shd w:val="clear" w:color="auto" w:fill="FFFFFF"/>
            <w:tcMar>
              <w:top w:w="0" w:type="dxa"/>
              <w:bottom w:w="0" w:type="dxa"/>
            </w:tcMar>
            <w:vAlign w:val="center"/>
          </w:tcPr>
          <w:p w14:paraId="21CF144B"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4</w:t>
            </w:r>
          </w:p>
        </w:tc>
        <w:tc>
          <w:tcPr>
            <w:tcW w:w="3202" w:type="dxa"/>
            <w:tcBorders>
              <w:top w:val="single" w:sz="4" w:space="0" w:color="000000"/>
              <w:left w:val="single" w:sz="4" w:space="0" w:color="000000"/>
            </w:tcBorders>
            <w:shd w:val="clear" w:color="auto" w:fill="FFFFFF"/>
            <w:tcMar>
              <w:top w:w="0" w:type="dxa"/>
              <w:bottom w:w="0" w:type="dxa"/>
            </w:tcMar>
          </w:tcPr>
          <w:p w14:paraId="204A34B9" w14:textId="77777777" w:rsidR="00D5730C" w:rsidRDefault="00DD31C5" w:rsidP="009552E7">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Total average number of employees</w:t>
            </w:r>
          </w:p>
          <w:p w14:paraId="59D56EE1" w14:textId="77777777" w:rsidR="00D5730C" w:rsidRDefault="00DD31C5" w:rsidP="009552E7">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December 31, 2023</w:t>
            </w:r>
          </w:p>
        </w:tc>
        <w:tc>
          <w:tcPr>
            <w:tcW w:w="1131" w:type="dxa"/>
            <w:tcBorders>
              <w:top w:val="single" w:sz="4" w:space="0" w:color="000000"/>
              <w:left w:val="single" w:sz="4" w:space="0" w:color="000000"/>
            </w:tcBorders>
            <w:shd w:val="clear" w:color="auto" w:fill="FFFFFF"/>
            <w:tcMar>
              <w:top w:w="0" w:type="dxa"/>
              <w:bottom w:w="0" w:type="dxa"/>
            </w:tcMar>
            <w:vAlign w:val="center"/>
          </w:tcPr>
          <w:p w14:paraId="6C0B8720"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329</w:t>
            </w:r>
          </w:p>
        </w:tc>
        <w:tc>
          <w:tcPr>
            <w:tcW w:w="1154" w:type="dxa"/>
            <w:tcBorders>
              <w:top w:val="single" w:sz="4" w:space="0" w:color="000000"/>
              <w:left w:val="single" w:sz="4" w:space="0" w:color="000000"/>
            </w:tcBorders>
            <w:shd w:val="clear" w:color="auto" w:fill="FFFFFF"/>
            <w:tcMar>
              <w:top w:w="0" w:type="dxa"/>
              <w:bottom w:w="0" w:type="dxa"/>
            </w:tcMar>
            <w:vAlign w:val="center"/>
          </w:tcPr>
          <w:p w14:paraId="114BCB37"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337</w:t>
            </w:r>
          </w:p>
        </w:tc>
        <w:tc>
          <w:tcPr>
            <w:tcW w:w="1158" w:type="dxa"/>
            <w:tcBorders>
              <w:top w:val="single" w:sz="4" w:space="0" w:color="000000"/>
              <w:left w:val="single" w:sz="4" w:space="0" w:color="000000"/>
            </w:tcBorders>
            <w:shd w:val="clear" w:color="auto" w:fill="FFFFFF"/>
            <w:tcMar>
              <w:top w:w="0" w:type="dxa"/>
              <w:bottom w:w="0" w:type="dxa"/>
            </w:tcMar>
            <w:vAlign w:val="center"/>
          </w:tcPr>
          <w:p w14:paraId="23BFC8BC"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324</w:t>
            </w:r>
          </w:p>
        </w:tc>
        <w:tc>
          <w:tcPr>
            <w:tcW w:w="983" w:type="dxa"/>
            <w:tcBorders>
              <w:top w:val="single" w:sz="4" w:space="0" w:color="000000"/>
              <w:left w:val="single" w:sz="4" w:space="0" w:color="000000"/>
            </w:tcBorders>
            <w:shd w:val="clear" w:color="auto" w:fill="FFFFFF"/>
            <w:tcMar>
              <w:top w:w="0" w:type="dxa"/>
              <w:bottom w:w="0" w:type="dxa"/>
            </w:tcMar>
            <w:vAlign w:val="center"/>
          </w:tcPr>
          <w:p w14:paraId="0F84A047"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96%</w:t>
            </w:r>
          </w:p>
        </w:tc>
        <w:tc>
          <w:tcPr>
            <w:tcW w:w="89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E057E4F"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98%</w:t>
            </w:r>
          </w:p>
        </w:tc>
      </w:tr>
      <w:tr w:rsidR="00D5730C" w14:paraId="3271A9DE" w14:textId="77777777">
        <w:trPr>
          <w:trHeight w:val="554"/>
        </w:trPr>
        <w:tc>
          <w:tcPr>
            <w:tcW w:w="49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48304C6"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5</w:t>
            </w:r>
          </w:p>
        </w:tc>
        <w:tc>
          <w:tcPr>
            <w:tcW w:w="320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015AEB03" w14:textId="77777777" w:rsidR="00D5730C" w:rsidRDefault="00DD31C5" w:rsidP="009552E7">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Average income (Million VND/person/month)</w:t>
            </w:r>
          </w:p>
        </w:tc>
        <w:tc>
          <w:tcPr>
            <w:tcW w:w="113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7F685B8"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9.60</w:t>
            </w:r>
          </w:p>
        </w:tc>
        <w:tc>
          <w:tcPr>
            <w:tcW w:w="115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7749D17"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13.02</w:t>
            </w:r>
          </w:p>
        </w:tc>
        <w:tc>
          <w:tcPr>
            <w:tcW w:w="115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FBB5800" w14:textId="77777777" w:rsidR="00D5730C" w:rsidRDefault="00DD31C5" w:rsidP="009552E7">
            <w:pPr>
              <w:pBdr>
                <w:top w:val="nil"/>
                <w:left w:val="nil"/>
                <w:bottom w:val="nil"/>
                <w:right w:val="nil"/>
                <w:between w:val="nil"/>
              </w:pBdr>
              <w:tabs>
                <w:tab w:val="left" w:pos="567"/>
              </w:tabs>
              <w:spacing w:after="120" w:line="360" w:lineRule="auto"/>
              <w:ind w:firstLine="360"/>
              <w:jc w:val="center"/>
              <w:rPr>
                <w:rFonts w:ascii="Arial" w:eastAsia="Arial" w:hAnsi="Arial" w:cs="Arial"/>
                <w:sz w:val="20"/>
                <w:szCs w:val="20"/>
              </w:rPr>
            </w:pPr>
            <w:r>
              <w:rPr>
                <w:rFonts w:ascii="Arial" w:hAnsi="Arial"/>
                <w:sz w:val="20"/>
              </w:rPr>
              <w:t>10.66</w:t>
            </w:r>
          </w:p>
        </w:tc>
        <w:tc>
          <w:tcPr>
            <w:tcW w:w="98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12BFC06"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82%</w:t>
            </w: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F704E1E" w14:textId="77777777" w:rsidR="00D5730C" w:rsidRDefault="00DD31C5" w:rsidP="009552E7">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Pr>
                <w:rFonts w:ascii="Arial" w:hAnsi="Arial"/>
                <w:sz w:val="20"/>
              </w:rPr>
              <w:t>111%</w:t>
            </w:r>
          </w:p>
        </w:tc>
      </w:tr>
    </w:tbl>
    <w:p w14:paraId="4D8E82BD" w14:textId="77777777" w:rsidR="00D5730C" w:rsidRDefault="00DD31C5" w:rsidP="00710546">
      <w:pPr>
        <w:pBdr>
          <w:top w:val="nil"/>
          <w:left w:val="nil"/>
          <w:bottom w:val="nil"/>
          <w:right w:val="nil"/>
          <w:between w:val="nil"/>
        </w:pBdr>
        <w:tabs>
          <w:tab w:val="left" w:pos="90"/>
          <w:tab w:val="left" w:pos="567"/>
        </w:tabs>
        <w:spacing w:after="120" w:line="360" w:lineRule="auto"/>
        <w:jc w:val="both"/>
        <w:rPr>
          <w:rFonts w:ascii="Arial" w:eastAsia="Arial" w:hAnsi="Arial" w:cs="Arial"/>
          <w:sz w:val="20"/>
          <w:szCs w:val="20"/>
        </w:rPr>
      </w:pPr>
      <w:r>
        <w:rPr>
          <w:rFonts w:ascii="Arial" w:hAnsi="Arial"/>
          <w:sz w:val="20"/>
        </w:rPr>
        <w:t>Production and Business plan for 2024;</w:t>
      </w:r>
    </w:p>
    <w:p w14:paraId="6F3A655F" w14:textId="77777777" w:rsidR="00D5730C" w:rsidRDefault="00DD31C5" w:rsidP="00710546">
      <w:pPr>
        <w:numPr>
          <w:ilvl w:val="0"/>
          <w:numId w:val="1"/>
        </w:numPr>
        <w:pBdr>
          <w:top w:val="nil"/>
          <w:left w:val="nil"/>
          <w:bottom w:val="nil"/>
          <w:right w:val="nil"/>
          <w:between w:val="nil"/>
        </w:pBdr>
        <w:tabs>
          <w:tab w:val="left" w:pos="90"/>
          <w:tab w:val="left" w:pos="567"/>
        </w:tabs>
        <w:spacing w:after="120" w:line="360" w:lineRule="auto"/>
        <w:ind w:left="283" w:hanging="283"/>
        <w:jc w:val="both"/>
        <w:rPr>
          <w:rFonts w:ascii="Arial" w:eastAsia="Arial" w:hAnsi="Arial" w:cs="Arial"/>
          <w:sz w:val="20"/>
          <w:szCs w:val="20"/>
        </w:rPr>
      </w:pPr>
      <w:r>
        <w:rPr>
          <w:rFonts w:ascii="Arial" w:hAnsi="Arial"/>
          <w:sz w:val="20"/>
        </w:rPr>
        <w:t>Revenue from goods sales and services provision: VND 462.5 billion;</w:t>
      </w:r>
    </w:p>
    <w:p w14:paraId="2E4FF01D" w14:textId="77777777" w:rsidR="00D5730C" w:rsidRDefault="00DD31C5" w:rsidP="00710546">
      <w:pPr>
        <w:numPr>
          <w:ilvl w:val="0"/>
          <w:numId w:val="1"/>
        </w:numPr>
        <w:pBdr>
          <w:top w:val="nil"/>
          <w:left w:val="nil"/>
          <w:bottom w:val="nil"/>
          <w:right w:val="nil"/>
          <w:between w:val="nil"/>
        </w:pBdr>
        <w:tabs>
          <w:tab w:val="left" w:pos="90"/>
          <w:tab w:val="left" w:pos="567"/>
        </w:tabs>
        <w:spacing w:after="120" w:line="360" w:lineRule="auto"/>
        <w:ind w:left="283" w:hanging="283"/>
        <w:jc w:val="both"/>
        <w:rPr>
          <w:rFonts w:ascii="Arial" w:eastAsia="Arial" w:hAnsi="Arial" w:cs="Arial"/>
          <w:sz w:val="20"/>
          <w:szCs w:val="20"/>
        </w:rPr>
      </w:pPr>
      <w:r>
        <w:rPr>
          <w:rFonts w:ascii="Arial" w:hAnsi="Arial"/>
          <w:sz w:val="20"/>
        </w:rPr>
        <w:t>Export turnover: USD 3.52 million</w:t>
      </w:r>
    </w:p>
    <w:p w14:paraId="4BBB5317" w14:textId="77777777" w:rsidR="00D5730C" w:rsidRDefault="00DD31C5" w:rsidP="00710546">
      <w:pPr>
        <w:numPr>
          <w:ilvl w:val="0"/>
          <w:numId w:val="1"/>
        </w:numPr>
        <w:pBdr>
          <w:top w:val="nil"/>
          <w:left w:val="nil"/>
          <w:bottom w:val="nil"/>
          <w:right w:val="nil"/>
          <w:between w:val="nil"/>
        </w:pBdr>
        <w:tabs>
          <w:tab w:val="left" w:pos="90"/>
          <w:tab w:val="left" w:pos="567"/>
        </w:tabs>
        <w:spacing w:after="120" w:line="360" w:lineRule="auto"/>
        <w:ind w:left="283" w:hanging="283"/>
        <w:jc w:val="both"/>
        <w:rPr>
          <w:rFonts w:ascii="Arial" w:eastAsia="Arial" w:hAnsi="Arial" w:cs="Arial"/>
          <w:sz w:val="20"/>
          <w:szCs w:val="20"/>
        </w:rPr>
      </w:pPr>
      <w:r>
        <w:rPr>
          <w:rFonts w:ascii="Arial" w:hAnsi="Arial"/>
          <w:sz w:val="20"/>
        </w:rPr>
        <w:t>Profit before tax: VND (4.19) billion</w:t>
      </w:r>
    </w:p>
    <w:p w14:paraId="6C6F68ED" w14:textId="5B199D4B" w:rsidR="00D5730C" w:rsidRDefault="00DD31C5" w:rsidP="00710546">
      <w:pPr>
        <w:numPr>
          <w:ilvl w:val="0"/>
          <w:numId w:val="2"/>
        </w:numPr>
        <w:pBdr>
          <w:top w:val="nil"/>
          <w:left w:val="nil"/>
          <w:bottom w:val="nil"/>
          <w:right w:val="nil"/>
          <w:between w:val="nil"/>
        </w:pBdr>
        <w:tabs>
          <w:tab w:val="left" w:pos="180"/>
          <w:tab w:val="left" w:pos="567"/>
        </w:tabs>
        <w:spacing w:after="120" w:line="360" w:lineRule="auto"/>
        <w:jc w:val="both"/>
      </w:pPr>
      <w:r>
        <w:rPr>
          <w:rFonts w:ascii="Arial" w:hAnsi="Arial"/>
          <w:sz w:val="20"/>
        </w:rPr>
        <w:t xml:space="preserve">General Mandate 2: The </w:t>
      </w:r>
      <w:r w:rsidR="00710546">
        <w:rPr>
          <w:rFonts w:ascii="Arial" w:hAnsi="Arial"/>
          <w:sz w:val="20"/>
        </w:rPr>
        <w:t>General Meeting</w:t>
      </w:r>
      <w:r>
        <w:rPr>
          <w:rFonts w:ascii="Arial" w:hAnsi="Arial"/>
          <w:sz w:val="20"/>
        </w:rPr>
        <w:t xml:space="preserve"> approved the Audited Separate Financial Statements and Audited Con</w:t>
      </w:r>
      <w:r w:rsidR="00710546">
        <w:rPr>
          <w:rFonts w:ascii="Arial" w:hAnsi="Arial"/>
          <w:sz w:val="20"/>
        </w:rPr>
        <w:t>solidated Financial Statements</w:t>
      </w:r>
      <w:r>
        <w:rPr>
          <w:rFonts w:ascii="Arial" w:hAnsi="Arial"/>
          <w:sz w:val="20"/>
        </w:rPr>
        <w:t xml:space="preserve"> 2023 of company.</w:t>
      </w:r>
    </w:p>
    <w:p w14:paraId="0919488F" w14:textId="52394346" w:rsidR="00D5730C" w:rsidRDefault="00DD31C5" w:rsidP="00710546">
      <w:pPr>
        <w:numPr>
          <w:ilvl w:val="0"/>
          <w:numId w:val="2"/>
        </w:numPr>
        <w:pBdr>
          <w:top w:val="nil"/>
          <w:left w:val="nil"/>
          <w:bottom w:val="nil"/>
          <w:right w:val="nil"/>
          <w:between w:val="nil"/>
        </w:pBdr>
        <w:tabs>
          <w:tab w:val="left" w:pos="180"/>
          <w:tab w:val="left" w:pos="567"/>
        </w:tabs>
        <w:spacing w:after="120" w:line="360" w:lineRule="auto"/>
        <w:jc w:val="both"/>
      </w:pPr>
      <w:r>
        <w:rPr>
          <w:rFonts w:ascii="Arial" w:hAnsi="Arial"/>
          <w:sz w:val="20"/>
        </w:rPr>
        <w:t xml:space="preserve">General Mandate 3: The </w:t>
      </w:r>
      <w:r w:rsidR="00710546">
        <w:rPr>
          <w:rFonts w:ascii="Arial" w:hAnsi="Arial"/>
          <w:sz w:val="20"/>
        </w:rPr>
        <w:t>General Meeting</w:t>
      </w:r>
      <w:r>
        <w:rPr>
          <w:rFonts w:ascii="Arial" w:hAnsi="Arial"/>
          <w:sz w:val="20"/>
        </w:rPr>
        <w:t xml:space="preserve"> approves the Report on governance and activities of the Board of Directors in 2023 and the operational plan in 2024.</w:t>
      </w:r>
    </w:p>
    <w:p w14:paraId="2A013E30" w14:textId="3D750CE4" w:rsidR="00D5730C" w:rsidRDefault="00DD31C5" w:rsidP="00710546">
      <w:pPr>
        <w:numPr>
          <w:ilvl w:val="0"/>
          <w:numId w:val="2"/>
        </w:numPr>
        <w:pBdr>
          <w:top w:val="nil"/>
          <w:left w:val="nil"/>
          <w:bottom w:val="nil"/>
          <w:right w:val="nil"/>
          <w:between w:val="nil"/>
        </w:pBdr>
        <w:tabs>
          <w:tab w:val="left" w:pos="180"/>
          <w:tab w:val="left" w:pos="567"/>
        </w:tabs>
        <w:spacing w:after="120" w:line="360" w:lineRule="auto"/>
        <w:jc w:val="both"/>
      </w:pPr>
      <w:r>
        <w:rPr>
          <w:rFonts w:ascii="Arial" w:hAnsi="Arial"/>
          <w:sz w:val="20"/>
        </w:rPr>
        <w:t xml:space="preserve">General Mandate 4: The </w:t>
      </w:r>
      <w:r w:rsidR="00710546">
        <w:rPr>
          <w:rFonts w:ascii="Arial" w:hAnsi="Arial"/>
          <w:sz w:val="20"/>
        </w:rPr>
        <w:t>General Meeting</w:t>
      </w:r>
      <w:r>
        <w:rPr>
          <w:rFonts w:ascii="Arial" w:hAnsi="Arial"/>
          <w:sz w:val="20"/>
        </w:rPr>
        <w:t xml:space="preserve"> approves the Report on Activities of the Supervisory Board in 2023 and operational Plan in 2024.</w:t>
      </w:r>
    </w:p>
    <w:p w14:paraId="0CBB7FAC" w14:textId="668F7742" w:rsidR="00D5730C" w:rsidRDefault="00DD31C5" w:rsidP="00710546">
      <w:pPr>
        <w:numPr>
          <w:ilvl w:val="0"/>
          <w:numId w:val="2"/>
        </w:numPr>
        <w:pBdr>
          <w:top w:val="nil"/>
          <w:left w:val="nil"/>
          <w:bottom w:val="nil"/>
          <w:right w:val="nil"/>
          <w:between w:val="nil"/>
        </w:pBdr>
        <w:tabs>
          <w:tab w:val="left" w:pos="180"/>
          <w:tab w:val="left" w:pos="567"/>
        </w:tabs>
        <w:spacing w:after="120" w:line="360" w:lineRule="auto"/>
        <w:jc w:val="both"/>
      </w:pPr>
      <w:r>
        <w:rPr>
          <w:rFonts w:ascii="Arial" w:hAnsi="Arial"/>
          <w:sz w:val="20"/>
        </w:rPr>
        <w:t xml:space="preserve">General Mandate 5: The </w:t>
      </w:r>
      <w:r w:rsidR="00710546">
        <w:rPr>
          <w:rFonts w:ascii="Arial" w:hAnsi="Arial"/>
          <w:sz w:val="20"/>
        </w:rPr>
        <w:t>General Meeting</w:t>
      </w:r>
      <w:r>
        <w:rPr>
          <w:rFonts w:ascii="Arial" w:hAnsi="Arial"/>
          <w:sz w:val="20"/>
        </w:rPr>
        <w:t xml:space="preserve"> approved the remuneration settlement of the Board of Directors and the Su</w:t>
      </w:r>
      <w:r w:rsidR="00710546">
        <w:rPr>
          <w:rFonts w:ascii="Arial" w:hAnsi="Arial"/>
          <w:sz w:val="20"/>
        </w:rPr>
        <w:t xml:space="preserve">pervisory Board in 2023 and </w:t>
      </w:r>
      <w:r>
        <w:rPr>
          <w:rFonts w:ascii="Arial" w:hAnsi="Arial"/>
          <w:sz w:val="20"/>
        </w:rPr>
        <w:t xml:space="preserve">remuneration plan for </w:t>
      </w:r>
      <w:r w:rsidR="00710546">
        <w:rPr>
          <w:rFonts w:ascii="Arial" w:hAnsi="Arial"/>
          <w:sz w:val="20"/>
        </w:rPr>
        <w:t>2024 by</w:t>
      </w:r>
      <w:r>
        <w:rPr>
          <w:rFonts w:ascii="Arial" w:hAnsi="Arial"/>
          <w:sz w:val="20"/>
        </w:rPr>
        <w:t xml:space="preserve"> members of the Board of Directors and the Supervisory Board according to Proposal No. 08/2024/</w:t>
      </w:r>
      <w:proofErr w:type="spellStart"/>
      <w:r>
        <w:rPr>
          <w:rFonts w:ascii="Arial" w:hAnsi="Arial"/>
          <w:sz w:val="20"/>
        </w:rPr>
        <w:t>TTr</w:t>
      </w:r>
      <w:proofErr w:type="spellEnd"/>
      <w:r>
        <w:rPr>
          <w:rFonts w:ascii="Arial" w:hAnsi="Arial"/>
          <w:sz w:val="20"/>
        </w:rPr>
        <w:t xml:space="preserve">-HDQT dated April 02, </w:t>
      </w:r>
      <w:r w:rsidR="00710546">
        <w:rPr>
          <w:rFonts w:ascii="Arial" w:hAnsi="Arial"/>
          <w:sz w:val="20"/>
        </w:rPr>
        <w:t>2024 by</w:t>
      </w:r>
      <w:r>
        <w:rPr>
          <w:rFonts w:ascii="Arial" w:hAnsi="Arial"/>
          <w:sz w:val="20"/>
        </w:rPr>
        <w:t xml:space="preserve"> the Board of Directors, as follows:</w:t>
      </w:r>
    </w:p>
    <w:p w14:paraId="101DA0DC" w14:textId="6D87B46F" w:rsidR="00D5730C" w:rsidRDefault="00DD31C5" w:rsidP="00710546">
      <w:pPr>
        <w:numPr>
          <w:ilvl w:val="1"/>
          <w:numId w:val="2"/>
        </w:numPr>
        <w:pBdr>
          <w:top w:val="nil"/>
          <w:left w:val="nil"/>
          <w:bottom w:val="nil"/>
          <w:right w:val="nil"/>
          <w:between w:val="nil"/>
        </w:pBdr>
        <w:tabs>
          <w:tab w:val="left" w:pos="360"/>
          <w:tab w:val="left" w:pos="567"/>
        </w:tabs>
        <w:spacing w:after="120" w:line="360" w:lineRule="auto"/>
        <w:jc w:val="both"/>
        <w:rPr>
          <w:rFonts w:ascii="Arial" w:eastAsia="Arial" w:hAnsi="Arial" w:cs="Arial"/>
          <w:sz w:val="20"/>
          <w:szCs w:val="20"/>
        </w:rPr>
      </w:pPr>
      <w:r>
        <w:rPr>
          <w:rFonts w:ascii="Arial" w:hAnsi="Arial"/>
          <w:sz w:val="20"/>
        </w:rPr>
        <w:lastRenderedPageBreak/>
        <w:t>Remuneration for members of the Board of Directors, the Supervisory Board, Secretariat of the Company in 2023 (including corporate income tax, including 12 months of remuneration and</w:t>
      </w:r>
      <w:r w:rsidR="00710546">
        <w:rPr>
          <w:rFonts w:ascii="Arial" w:hAnsi="Arial"/>
          <w:sz w:val="20"/>
        </w:rPr>
        <w:t xml:space="preserve"> 1 month of remuneration on the</w:t>
      </w:r>
      <w:r>
        <w:rPr>
          <w:rFonts w:ascii="Arial" w:hAnsi="Arial"/>
          <w:sz w:val="20"/>
        </w:rPr>
        <w:t xml:space="preserve"> Lunar New Year) is:  VND 232,000,000, specifically:</w:t>
      </w:r>
    </w:p>
    <w:p w14:paraId="5BB0D450" w14:textId="77777777" w:rsidR="00D5730C" w:rsidRDefault="00DD31C5" w:rsidP="00710546">
      <w:pPr>
        <w:numPr>
          <w:ilvl w:val="0"/>
          <w:numId w:val="1"/>
        </w:numPr>
        <w:pBdr>
          <w:top w:val="nil"/>
          <w:left w:val="nil"/>
          <w:bottom w:val="nil"/>
          <w:right w:val="nil"/>
          <w:between w:val="nil"/>
        </w:pBdr>
        <w:tabs>
          <w:tab w:val="left" w:pos="90"/>
          <w:tab w:val="left" w:pos="567"/>
          <w:tab w:val="left" w:pos="2687"/>
        </w:tabs>
        <w:spacing w:after="120" w:line="360" w:lineRule="auto"/>
        <w:ind w:left="283" w:hanging="283"/>
        <w:jc w:val="both"/>
        <w:rPr>
          <w:rFonts w:ascii="Arial" w:eastAsia="Arial" w:hAnsi="Arial" w:cs="Arial"/>
          <w:sz w:val="20"/>
          <w:szCs w:val="20"/>
        </w:rPr>
      </w:pPr>
      <w:r>
        <w:rPr>
          <w:rFonts w:ascii="Arial" w:hAnsi="Arial"/>
          <w:sz w:val="20"/>
        </w:rPr>
        <w:t>Total remuneration of the Board of Directors in 2023: VND 167,000,000</w:t>
      </w:r>
    </w:p>
    <w:p w14:paraId="29CDEA57" w14:textId="77777777" w:rsidR="00D5730C" w:rsidRDefault="00DD31C5" w:rsidP="00710546">
      <w:pPr>
        <w:numPr>
          <w:ilvl w:val="0"/>
          <w:numId w:val="1"/>
        </w:numPr>
        <w:pBdr>
          <w:top w:val="nil"/>
          <w:left w:val="nil"/>
          <w:bottom w:val="nil"/>
          <w:right w:val="nil"/>
          <w:between w:val="nil"/>
        </w:pBdr>
        <w:tabs>
          <w:tab w:val="left" w:pos="90"/>
          <w:tab w:val="left" w:pos="567"/>
          <w:tab w:val="left" w:pos="2687"/>
        </w:tabs>
        <w:spacing w:after="120" w:line="360" w:lineRule="auto"/>
        <w:ind w:left="283" w:hanging="283"/>
        <w:jc w:val="both"/>
        <w:rPr>
          <w:rFonts w:ascii="Arial" w:eastAsia="Arial" w:hAnsi="Arial" w:cs="Arial"/>
          <w:sz w:val="20"/>
          <w:szCs w:val="20"/>
        </w:rPr>
      </w:pPr>
      <w:r>
        <w:rPr>
          <w:rFonts w:ascii="Arial" w:hAnsi="Arial"/>
          <w:sz w:val="20"/>
        </w:rPr>
        <w:t>Total remuneration of the Supervisory Board in 2023: VND 65,000,000</w:t>
      </w:r>
    </w:p>
    <w:p w14:paraId="5BA3C6F3" w14:textId="77777777" w:rsidR="00D5730C" w:rsidRDefault="00DD31C5" w:rsidP="00710546">
      <w:pPr>
        <w:numPr>
          <w:ilvl w:val="1"/>
          <w:numId w:val="2"/>
        </w:numPr>
        <w:pBdr>
          <w:top w:val="nil"/>
          <w:left w:val="nil"/>
          <w:bottom w:val="nil"/>
          <w:right w:val="nil"/>
          <w:between w:val="nil"/>
        </w:pBdr>
        <w:tabs>
          <w:tab w:val="left" w:pos="360"/>
          <w:tab w:val="left" w:pos="567"/>
        </w:tabs>
        <w:spacing w:after="120" w:line="360" w:lineRule="auto"/>
        <w:ind w:left="425" w:hanging="425"/>
        <w:jc w:val="both"/>
      </w:pPr>
      <w:r>
        <w:rPr>
          <w:rFonts w:ascii="Arial" w:hAnsi="Arial"/>
          <w:sz w:val="20"/>
        </w:rPr>
        <w:t>Remuneration plan for 2024</w:t>
      </w:r>
    </w:p>
    <w:p w14:paraId="35142CB9" w14:textId="77777777" w:rsidR="00D5730C" w:rsidRDefault="00DD31C5" w:rsidP="00710546">
      <w:pPr>
        <w:numPr>
          <w:ilvl w:val="2"/>
          <w:numId w:val="2"/>
        </w:numPr>
        <w:pBdr>
          <w:top w:val="nil"/>
          <w:left w:val="nil"/>
          <w:bottom w:val="nil"/>
          <w:right w:val="nil"/>
          <w:between w:val="nil"/>
        </w:pBdr>
        <w:tabs>
          <w:tab w:val="left" w:pos="540"/>
          <w:tab w:val="left" w:pos="567"/>
        </w:tabs>
        <w:spacing w:after="120" w:line="360" w:lineRule="auto"/>
        <w:ind w:left="566" w:hanging="566"/>
        <w:jc w:val="both"/>
        <w:rPr>
          <w:rFonts w:ascii="Arial" w:eastAsia="Arial" w:hAnsi="Arial" w:cs="Arial"/>
          <w:sz w:val="20"/>
          <w:szCs w:val="20"/>
        </w:rPr>
      </w:pPr>
      <w:r>
        <w:rPr>
          <w:rFonts w:ascii="Arial" w:hAnsi="Arial"/>
          <w:sz w:val="20"/>
        </w:rPr>
        <w:t>The Board of Directors</w:t>
      </w:r>
    </w:p>
    <w:p w14:paraId="620483E1" w14:textId="77777777" w:rsidR="00D5730C" w:rsidRDefault="00DD31C5" w:rsidP="00710546">
      <w:pPr>
        <w:numPr>
          <w:ilvl w:val="0"/>
          <w:numId w:val="1"/>
        </w:numPr>
        <w:pBdr>
          <w:top w:val="nil"/>
          <w:left w:val="nil"/>
          <w:bottom w:val="nil"/>
          <w:right w:val="nil"/>
          <w:between w:val="nil"/>
        </w:pBdr>
        <w:tabs>
          <w:tab w:val="left" w:pos="90"/>
          <w:tab w:val="left" w:pos="567"/>
          <w:tab w:val="left" w:pos="2687"/>
        </w:tabs>
        <w:spacing w:after="120" w:line="360" w:lineRule="auto"/>
        <w:ind w:left="283" w:hanging="283"/>
        <w:jc w:val="both"/>
        <w:rPr>
          <w:rFonts w:ascii="Arial" w:eastAsia="Arial" w:hAnsi="Arial" w:cs="Arial"/>
          <w:sz w:val="20"/>
          <w:szCs w:val="20"/>
        </w:rPr>
      </w:pPr>
      <w:r>
        <w:rPr>
          <w:rFonts w:ascii="Arial" w:hAnsi="Arial"/>
          <w:sz w:val="20"/>
        </w:rPr>
        <w:t>Chair of the Board of Directors VND 5,000,000 per month.</w:t>
      </w:r>
    </w:p>
    <w:p w14:paraId="6244444D" w14:textId="77777777" w:rsidR="00D5730C" w:rsidRDefault="00DD31C5" w:rsidP="00710546">
      <w:pPr>
        <w:numPr>
          <w:ilvl w:val="0"/>
          <w:numId w:val="1"/>
        </w:numPr>
        <w:pBdr>
          <w:top w:val="nil"/>
          <w:left w:val="nil"/>
          <w:bottom w:val="nil"/>
          <w:right w:val="nil"/>
          <w:between w:val="nil"/>
        </w:pBdr>
        <w:tabs>
          <w:tab w:val="left" w:pos="90"/>
          <w:tab w:val="left" w:pos="567"/>
          <w:tab w:val="left" w:pos="2687"/>
        </w:tabs>
        <w:spacing w:after="120" w:line="360" w:lineRule="auto"/>
        <w:ind w:left="283" w:hanging="283"/>
        <w:jc w:val="both"/>
        <w:rPr>
          <w:rFonts w:ascii="Arial" w:eastAsia="Arial" w:hAnsi="Arial" w:cs="Arial"/>
          <w:sz w:val="20"/>
          <w:szCs w:val="20"/>
        </w:rPr>
      </w:pPr>
      <w:r>
        <w:rPr>
          <w:rFonts w:ascii="Arial" w:hAnsi="Arial"/>
          <w:sz w:val="20"/>
        </w:rPr>
        <w:t>Members of the Board of Directors: VND 3,000,000/person/month;</w:t>
      </w:r>
    </w:p>
    <w:p w14:paraId="6FFD1796" w14:textId="77777777" w:rsidR="00D5730C" w:rsidRDefault="00DD31C5" w:rsidP="00710546">
      <w:pPr>
        <w:numPr>
          <w:ilvl w:val="2"/>
          <w:numId w:val="2"/>
        </w:numPr>
        <w:pBdr>
          <w:top w:val="nil"/>
          <w:left w:val="nil"/>
          <w:bottom w:val="nil"/>
          <w:right w:val="nil"/>
          <w:between w:val="nil"/>
        </w:pBdr>
        <w:tabs>
          <w:tab w:val="left" w:pos="540"/>
          <w:tab w:val="left" w:pos="567"/>
        </w:tabs>
        <w:spacing w:after="120" w:line="360" w:lineRule="auto"/>
        <w:ind w:left="566" w:hanging="566"/>
        <w:jc w:val="both"/>
      </w:pPr>
      <w:r>
        <w:rPr>
          <w:rFonts w:ascii="Arial" w:hAnsi="Arial"/>
          <w:sz w:val="20"/>
        </w:rPr>
        <w:t>Supervisory Board</w:t>
      </w:r>
    </w:p>
    <w:p w14:paraId="5B7EB89F" w14:textId="77777777" w:rsidR="00D5730C" w:rsidRDefault="00DD31C5" w:rsidP="00710546">
      <w:pPr>
        <w:numPr>
          <w:ilvl w:val="0"/>
          <w:numId w:val="1"/>
        </w:numPr>
        <w:pBdr>
          <w:top w:val="nil"/>
          <w:left w:val="nil"/>
          <w:bottom w:val="nil"/>
          <w:right w:val="nil"/>
          <w:between w:val="nil"/>
        </w:pBdr>
        <w:tabs>
          <w:tab w:val="left" w:pos="90"/>
          <w:tab w:val="left" w:pos="567"/>
          <w:tab w:val="left" w:pos="2687"/>
        </w:tabs>
        <w:spacing w:after="120" w:line="360" w:lineRule="auto"/>
        <w:ind w:left="283" w:hanging="283"/>
        <w:jc w:val="both"/>
        <w:rPr>
          <w:rFonts w:ascii="Arial" w:eastAsia="Arial" w:hAnsi="Arial" w:cs="Arial"/>
          <w:sz w:val="20"/>
          <w:szCs w:val="20"/>
        </w:rPr>
      </w:pPr>
      <w:r>
        <w:rPr>
          <w:rFonts w:ascii="Arial" w:hAnsi="Arial"/>
          <w:sz w:val="20"/>
        </w:rPr>
        <w:t>Chief of the Supervisory Board:  VND 3,000,000/month</w:t>
      </w:r>
    </w:p>
    <w:p w14:paraId="277D9197" w14:textId="77777777" w:rsidR="00D5730C" w:rsidRDefault="00DD31C5" w:rsidP="00710546">
      <w:pPr>
        <w:numPr>
          <w:ilvl w:val="0"/>
          <w:numId w:val="1"/>
        </w:numPr>
        <w:pBdr>
          <w:top w:val="nil"/>
          <w:left w:val="nil"/>
          <w:bottom w:val="nil"/>
          <w:right w:val="nil"/>
          <w:between w:val="nil"/>
        </w:pBdr>
        <w:tabs>
          <w:tab w:val="left" w:pos="90"/>
          <w:tab w:val="left" w:pos="567"/>
          <w:tab w:val="left" w:pos="2687"/>
        </w:tabs>
        <w:spacing w:after="120" w:line="360" w:lineRule="auto"/>
        <w:ind w:left="283" w:hanging="283"/>
        <w:jc w:val="both"/>
        <w:rPr>
          <w:rFonts w:ascii="Arial" w:eastAsia="Arial" w:hAnsi="Arial" w:cs="Arial"/>
          <w:sz w:val="20"/>
          <w:szCs w:val="20"/>
        </w:rPr>
      </w:pPr>
      <w:r>
        <w:rPr>
          <w:rFonts w:ascii="Arial" w:hAnsi="Arial"/>
          <w:sz w:val="20"/>
        </w:rPr>
        <w:t>Members of the Supervisory Board:  VND 1,000,000/person/month</w:t>
      </w:r>
    </w:p>
    <w:p w14:paraId="174721EE" w14:textId="472F4AC4" w:rsidR="00D5730C" w:rsidRDefault="00DD31C5" w:rsidP="00710546">
      <w:pPr>
        <w:numPr>
          <w:ilvl w:val="0"/>
          <w:numId w:val="2"/>
        </w:numPr>
        <w:pBdr>
          <w:top w:val="nil"/>
          <w:left w:val="nil"/>
          <w:bottom w:val="nil"/>
          <w:right w:val="nil"/>
          <w:between w:val="nil"/>
        </w:pBdr>
        <w:tabs>
          <w:tab w:val="left" w:pos="567"/>
          <w:tab w:val="left" w:pos="1872"/>
        </w:tabs>
        <w:spacing w:after="120" w:line="360" w:lineRule="auto"/>
        <w:jc w:val="both"/>
        <w:rPr>
          <w:rFonts w:ascii="Arial" w:eastAsia="Arial" w:hAnsi="Arial" w:cs="Arial"/>
          <w:sz w:val="20"/>
          <w:szCs w:val="20"/>
        </w:rPr>
      </w:pPr>
      <w:r>
        <w:rPr>
          <w:rFonts w:ascii="Arial" w:hAnsi="Arial"/>
          <w:sz w:val="20"/>
        </w:rPr>
        <w:t xml:space="preserve">General Mandate 6: The </w:t>
      </w:r>
      <w:r w:rsidR="00710546">
        <w:rPr>
          <w:rFonts w:ascii="Arial" w:hAnsi="Arial"/>
          <w:sz w:val="20"/>
        </w:rPr>
        <w:t>General Meeting</w:t>
      </w:r>
      <w:r>
        <w:rPr>
          <w:rFonts w:ascii="Arial" w:hAnsi="Arial"/>
          <w:sz w:val="20"/>
        </w:rPr>
        <w:t xml:space="preserve"> approves the plan not to appropriate for funds and not to pay dividends for shareholders in 2023 according to the Proposal No. 09/2024/</w:t>
      </w:r>
      <w:proofErr w:type="spellStart"/>
      <w:r>
        <w:rPr>
          <w:rFonts w:ascii="Arial" w:hAnsi="Arial"/>
          <w:sz w:val="20"/>
        </w:rPr>
        <w:t>TTr</w:t>
      </w:r>
      <w:proofErr w:type="spellEnd"/>
      <w:r>
        <w:rPr>
          <w:rFonts w:ascii="Arial" w:hAnsi="Arial"/>
          <w:sz w:val="20"/>
        </w:rPr>
        <w:t xml:space="preserve">-HDQT dated April 02, </w:t>
      </w:r>
      <w:r w:rsidR="00710546">
        <w:rPr>
          <w:rFonts w:ascii="Arial" w:hAnsi="Arial"/>
          <w:sz w:val="20"/>
        </w:rPr>
        <w:t>2024 by</w:t>
      </w:r>
      <w:r>
        <w:rPr>
          <w:rFonts w:ascii="Arial" w:hAnsi="Arial"/>
          <w:sz w:val="20"/>
        </w:rPr>
        <w:t xml:space="preserve"> the Board of Directors.</w:t>
      </w:r>
    </w:p>
    <w:p w14:paraId="1EED534C" w14:textId="3F793F5F" w:rsidR="00D5730C" w:rsidRDefault="00DD31C5" w:rsidP="00710546">
      <w:pPr>
        <w:numPr>
          <w:ilvl w:val="0"/>
          <w:numId w:val="2"/>
        </w:numPr>
        <w:pBdr>
          <w:top w:val="nil"/>
          <w:left w:val="nil"/>
          <w:bottom w:val="nil"/>
          <w:right w:val="nil"/>
          <w:between w:val="nil"/>
        </w:pBdr>
        <w:tabs>
          <w:tab w:val="left" w:pos="567"/>
          <w:tab w:val="left" w:pos="1872"/>
        </w:tabs>
        <w:spacing w:after="120" w:line="360" w:lineRule="auto"/>
        <w:jc w:val="both"/>
      </w:pPr>
      <w:r>
        <w:rPr>
          <w:rFonts w:ascii="Arial" w:hAnsi="Arial"/>
          <w:sz w:val="20"/>
        </w:rPr>
        <w:t xml:space="preserve">General Mandate 7: The </w:t>
      </w:r>
      <w:r w:rsidR="00710546">
        <w:rPr>
          <w:rFonts w:ascii="Arial" w:hAnsi="Arial"/>
          <w:sz w:val="20"/>
        </w:rPr>
        <w:t>General Meeting</w:t>
      </w:r>
      <w:r>
        <w:rPr>
          <w:rFonts w:ascii="Arial" w:hAnsi="Arial"/>
          <w:sz w:val="20"/>
        </w:rPr>
        <w:t xml:space="preserve"> approves the authorization for the Board of Directors to decide on the selection of an audit company to audit the Financial Statements 2024 according to the Proposal No. 10/2024/</w:t>
      </w:r>
      <w:proofErr w:type="spellStart"/>
      <w:r>
        <w:rPr>
          <w:rFonts w:ascii="Arial" w:hAnsi="Arial"/>
          <w:sz w:val="20"/>
        </w:rPr>
        <w:t>TTr</w:t>
      </w:r>
      <w:proofErr w:type="spellEnd"/>
      <w:r>
        <w:rPr>
          <w:rFonts w:ascii="Arial" w:hAnsi="Arial"/>
          <w:sz w:val="20"/>
        </w:rPr>
        <w:t xml:space="preserve">- HDQT dated April 02, </w:t>
      </w:r>
      <w:r w:rsidR="00710546">
        <w:rPr>
          <w:rFonts w:ascii="Arial" w:hAnsi="Arial"/>
          <w:sz w:val="20"/>
        </w:rPr>
        <w:t>2024 by</w:t>
      </w:r>
      <w:r>
        <w:rPr>
          <w:rFonts w:ascii="Arial" w:hAnsi="Arial"/>
          <w:sz w:val="20"/>
        </w:rPr>
        <w:t xml:space="preserve"> the Board of Directors.</w:t>
      </w:r>
    </w:p>
    <w:p w14:paraId="11A1480E" w14:textId="2C232A9C" w:rsidR="00D5730C" w:rsidRDefault="00DD31C5" w:rsidP="00710546">
      <w:pPr>
        <w:numPr>
          <w:ilvl w:val="0"/>
          <w:numId w:val="2"/>
        </w:numPr>
        <w:pBdr>
          <w:top w:val="nil"/>
          <w:left w:val="nil"/>
          <w:bottom w:val="nil"/>
          <w:right w:val="nil"/>
          <w:between w:val="nil"/>
        </w:pBdr>
        <w:tabs>
          <w:tab w:val="left" w:pos="567"/>
          <w:tab w:val="left" w:pos="1872"/>
        </w:tabs>
        <w:spacing w:after="120" w:line="360" w:lineRule="auto"/>
        <w:jc w:val="both"/>
      </w:pPr>
      <w:r>
        <w:rPr>
          <w:rFonts w:ascii="Arial" w:hAnsi="Arial"/>
          <w:sz w:val="20"/>
        </w:rPr>
        <w:t xml:space="preserve">General Mandate 8: The Meeting fully authorized the Board of Directors and allowed the Board of Directors to authorize the Chair or other members of the Board of Directors to review, decide, and implement the contents reviewed and approved by the </w:t>
      </w:r>
      <w:r w:rsidR="00710546">
        <w:rPr>
          <w:rFonts w:ascii="Arial" w:hAnsi="Arial"/>
          <w:sz w:val="20"/>
        </w:rPr>
        <w:t>General Meeting</w:t>
      </w:r>
      <w:r>
        <w:rPr>
          <w:rFonts w:ascii="Arial" w:hAnsi="Arial"/>
          <w:sz w:val="20"/>
        </w:rPr>
        <w:t xml:space="preserve">; to decide on other contents under the authority of the </w:t>
      </w:r>
      <w:r w:rsidR="00710546">
        <w:rPr>
          <w:rFonts w:ascii="Arial" w:hAnsi="Arial"/>
          <w:sz w:val="20"/>
        </w:rPr>
        <w:t>General Meeting</w:t>
      </w:r>
      <w:r>
        <w:rPr>
          <w:rFonts w:ascii="Arial" w:hAnsi="Arial"/>
          <w:sz w:val="20"/>
        </w:rPr>
        <w:t xml:space="preserve">, which arises and must be resolved between two Annual </w:t>
      </w:r>
      <w:r w:rsidR="00710546">
        <w:rPr>
          <w:rFonts w:ascii="Arial" w:hAnsi="Arial"/>
          <w:sz w:val="20"/>
        </w:rPr>
        <w:t>General Meeting</w:t>
      </w:r>
      <w:r>
        <w:rPr>
          <w:rFonts w:ascii="Arial" w:hAnsi="Arial"/>
          <w:sz w:val="20"/>
        </w:rPr>
        <w:t xml:space="preserve"> and carry out relevant procedures </w:t>
      </w:r>
      <w:r w:rsidR="00710546">
        <w:rPr>
          <w:rFonts w:ascii="Arial" w:hAnsi="Arial"/>
          <w:sz w:val="20"/>
        </w:rPr>
        <w:t>as per</w:t>
      </w:r>
      <w:r>
        <w:rPr>
          <w:rFonts w:ascii="Arial" w:hAnsi="Arial"/>
          <w:sz w:val="20"/>
        </w:rPr>
        <w:t xml:space="preserve"> regulations.</w:t>
      </w:r>
    </w:p>
    <w:p w14:paraId="7355F276" w14:textId="38CA07C5" w:rsidR="00D5730C" w:rsidRDefault="00DD31C5" w:rsidP="00710546">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The contents of the General Mandates and authorizations according to the Annual General Mandate 2024 take effect from the date of their approval and do not limit the validity period until the </w:t>
      </w:r>
      <w:r w:rsidR="00710546">
        <w:rPr>
          <w:rFonts w:ascii="Arial" w:hAnsi="Arial"/>
          <w:sz w:val="20"/>
        </w:rPr>
        <w:t>General Meeting</w:t>
      </w:r>
      <w:r>
        <w:rPr>
          <w:rFonts w:ascii="Arial" w:hAnsi="Arial"/>
          <w:sz w:val="20"/>
        </w:rPr>
        <w:t xml:space="preserve"> makes other decisions to replace them.</w:t>
      </w:r>
    </w:p>
    <w:p w14:paraId="43438D9B" w14:textId="41FF60C8" w:rsidR="00D5730C" w:rsidRDefault="00DD31C5" w:rsidP="00710546">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2: This General Mandate takes effect from the date of its signing. Shareholde</w:t>
      </w:r>
      <w:r w:rsidR="00710546">
        <w:rPr>
          <w:rFonts w:ascii="Arial" w:hAnsi="Arial"/>
          <w:sz w:val="20"/>
        </w:rPr>
        <w:t xml:space="preserve">rs, the Board of Directors, </w:t>
      </w:r>
      <w:bookmarkStart w:id="0" w:name="_GoBack"/>
      <w:bookmarkEnd w:id="0"/>
      <w:r>
        <w:rPr>
          <w:rFonts w:ascii="Arial" w:hAnsi="Arial"/>
          <w:sz w:val="20"/>
        </w:rPr>
        <w:t>Superviso</w:t>
      </w:r>
      <w:r w:rsidR="00710546">
        <w:rPr>
          <w:rFonts w:ascii="Arial" w:hAnsi="Arial"/>
          <w:sz w:val="20"/>
        </w:rPr>
        <w:t>ry Board, Executive Board</w:t>
      </w:r>
      <w:r>
        <w:rPr>
          <w:rFonts w:ascii="Arial" w:hAnsi="Arial"/>
          <w:sz w:val="20"/>
        </w:rPr>
        <w:t>, Heads of departments/divisions/units in the Company and relevant individuals are responsible for implementing this General Mandate.</w:t>
      </w:r>
    </w:p>
    <w:sectPr w:rsidR="00D5730C">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A19A3"/>
    <w:multiLevelType w:val="multilevel"/>
    <w:tmpl w:val="6826E00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start w:val="1"/>
      <w:numFmt w:val="decimal"/>
      <w:lvlText w:val="%1.%2.%3."/>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FE0128C"/>
    <w:multiLevelType w:val="multilevel"/>
    <w:tmpl w:val="83B2DE2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0C"/>
    <w:rsid w:val="00710546"/>
    <w:rsid w:val="009552E7"/>
    <w:rsid w:val="00D5730C"/>
    <w:rsid w:val="00DD3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7C7A"/>
  <w15:docId w15:val="{EE128172-82C3-4AAC-B5FF-C9AFB66E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sz w:val="28"/>
      <w:szCs w:val="28"/>
      <w:u w:val="none"/>
      <w:shd w:val="clear" w:color="auto" w:fill="auto"/>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10"/>
      <w:szCs w:val="1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Segoe UI" w:eastAsia="Segoe UI" w:hAnsi="Segoe UI" w:cs="Segoe UI"/>
      <w:b/>
      <w:bCs/>
      <w:i w:val="0"/>
      <w:iCs w:val="0"/>
      <w:smallCaps w:val="0"/>
      <w:strike w:val="0"/>
      <w:color w:val="BA3A53"/>
      <w:w w:val="5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4F4C7D"/>
      <w:sz w:val="48"/>
      <w:szCs w:val="4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sz w:val="22"/>
      <w:szCs w:val="22"/>
    </w:rPr>
  </w:style>
  <w:style w:type="paragraph" w:customStyle="1" w:styleId="Heading21">
    <w:name w:val="Heading #2"/>
    <w:basedOn w:val="Normal"/>
    <w:link w:val="Heading20"/>
    <w:pPr>
      <w:spacing w:line="266" w:lineRule="auto"/>
      <w:ind w:left="1520"/>
      <w:outlineLvl w:val="1"/>
    </w:pPr>
    <w:rPr>
      <w:rFonts w:ascii="Times New Roman" w:eastAsia="Times New Roman" w:hAnsi="Times New Roman" w:cs="Times New Roman"/>
      <w:b/>
      <w:bCs/>
      <w:sz w:val="22"/>
      <w:szCs w:val="22"/>
    </w:rPr>
  </w:style>
  <w:style w:type="paragraph" w:customStyle="1" w:styleId="Bodytext20">
    <w:name w:val="Body text (2)"/>
    <w:basedOn w:val="Normal"/>
    <w:link w:val="Bodytext2"/>
    <w:pPr>
      <w:ind w:left="4080"/>
    </w:pPr>
    <w:rPr>
      <w:rFonts w:ascii="Arial" w:eastAsia="Arial" w:hAnsi="Arial" w:cs="Arial"/>
      <w:sz w:val="10"/>
      <w:szCs w:val="10"/>
    </w:rPr>
  </w:style>
  <w:style w:type="paragraph" w:customStyle="1" w:styleId="Bodytext40">
    <w:name w:val="Body text (4)"/>
    <w:basedOn w:val="Normal"/>
    <w:link w:val="Bodytext4"/>
    <w:pPr>
      <w:ind w:left="1520"/>
    </w:pPr>
    <w:rPr>
      <w:rFonts w:ascii="Arial" w:eastAsia="Arial" w:hAnsi="Arial" w:cs="Arial"/>
      <w:smallCaps/>
      <w:sz w:val="28"/>
      <w:szCs w:val="28"/>
    </w:rPr>
  </w:style>
  <w:style w:type="paragraph" w:customStyle="1" w:styleId="Tableofcontents0">
    <w:name w:val="Table of contents"/>
    <w:basedOn w:val="Normal"/>
    <w:link w:val="Tableofcontents"/>
    <w:rPr>
      <w:rFonts w:ascii="Arial" w:eastAsia="Arial" w:hAnsi="Arial" w:cs="Arial"/>
      <w:sz w:val="10"/>
      <w:szCs w:val="10"/>
    </w:rPr>
  </w:style>
  <w:style w:type="paragraph" w:customStyle="1" w:styleId="Heading11">
    <w:name w:val="Heading #1"/>
    <w:basedOn w:val="Normal"/>
    <w:link w:val="Heading10"/>
    <w:pPr>
      <w:ind w:left="5140"/>
      <w:outlineLvl w:val="0"/>
    </w:pPr>
    <w:rPr>
      <w:rFonts w:ascii="Times New Roman" w:eastAsia="Times New Roman" w:hAnsi="Times New Roman" w:cs="Times New Roman"/>
      <w:b/>
      <w:bCs/>
      <w:sz w:val="28"/>
      <w:szCs w:val="28"/>
    </w:rPr>
  </w:style>
  <w:style w:type="paragraph" w:customStyle="1" w:styleId="Bodytext30">
    <w:name w:val="Body text (3)"/>
    <w:basedOn w:val="Normal"/>
    <w:link w:val="Bodytext3"/>
    <w:pPr>
      <w:spacing w:line="276" w:lineRule="auto"/>
      <w:ind w:firstLine="180"/>
      <w:jc w:val="right"/>
    </w:pPr>
    <w:rPr>
      <w:rFonts w:ascii="Segoe UI" w:eastAsia="Segoe UI" w:hAnsi="Segoe UI" w:cs="Segoe UI"/>
      <w:b/>
      <w:bCs/>
      <w:color w:val="BA3A53"/>
      <w:w w:val="50"/>
    </w:rPr>
  </w:style>
  <w:style w:type="paragraph" w:customStyle="1" w:styleId="Bodytext50">
    <w:name w:val="Body text (5)"/>
    <w:basedOn w:val="Normal"/>
    <w:link w:val="Bodytext5"/>
    <w:pPr>
      <w:spacing w:line="180" w:lineRule="auto"/>
    </w:pPr>
    <w:rPr>
      <w:rFonts w:ascii="Times New Roman" w:eastAsia="Times New Roman" w:hAnsi="Times New Roman" w:cs="Times New Roman"/>
      <w:color w:val="4F4C7D"/>
      <w:sz w:val="48"/>
      <w:szCs w:val="48"/>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pPr>
      <w:spacing w:line="264"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QdCVFvvtYa4pFZt41ZGOrz1vfQ==">CgMxLjA4AHIhMVNRaGJWTHNkTEV4S3R5b0Y3WFFaQ0JWYl82Vkd5ejhf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2024-05-03T10:50:00Z</dcterms:created>
  <dcterms:modified xsi:type="dcterms:W3CDTF">2024-05-03T10:50:00Z</dcterms:modified>
</cp:coreProperties>
</file>