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4058A" w14:textId="77777777" w:rsidR="00AC44A0" w:rsidRDefault="00AC44A0" w:rsidP="00E5593C">
      <w:pPr>
        <w:pBdr>
          <w:top w:val="nil"/>
          <w:left w:val="nil"/>
          <w:bottom w:val="nil"/>
          <w:right w:val="nil"/>
          <w:between w:val="nil"/>
        </w:pBdr>
        <w:tabs>
          <w:tab w:val="left" w:pos="360"/>
          <w:tab w:val="left" w:pos="432"/>
          <w:tab w:val="left" w:pos="6714"/>
        </w:tabs>
        <w:spacing w:after="120" w:line="360" w:lineRule="auto"/>
        <w:jc w:val="both"/>
        <w:rPr>
          <w:rFonts w:ascii="Arial" w:eastAsia="Arial" w:hAnsi="Arial" w:cs="Arial"/>
          <w:b/>
          <w:color w:val="010000"/>
          <w:sz w:val="20"/>
          <w:szCs w:val="20"/>
        </w:rPr>
      </w:pPr>
      <w:r>
        <w:rPr>
          <w:rFonts w:ascii="Arial" w:hAnsi="Arial"/>
          <w:b/>
          <w:color w:val="010000"/>
          <w:sz w:val="20"/>
        </w:rPr>
        <w:t>ICN: Annual General Mandate 2024</w:t>
      </w:r>
    </w:p>
    <w:p w14:paraId="5F3F1F6A" w14:textId="598A1272" w:rsidR="00B42DE2" w:rsidRPr="00AC44A0" w:rsidRDefault="0011622E" w:rsidP="00E5593C">
      <w:pPr>
        <w:pBdr>
          <w:top w:val="nil"/>
          <w:left w:val="nil"/>
          <w:bottom w:val="nil"/>
          <w:right w:val="nil"/>
          <w:between w:val="nil"/>
        </w:pBdr>
        <w:tabs>
          <w:tab w:val="left" w:pos="360"/>
          <w:tab w:val="left" w:pos="432"/>
          <w:tab w:val="left" w:pos="6714"/>
        </w:tabs>
        <w:spacing w:after="120" w:line="360" w:lineRule="auto"/>
        <w:jc w:val="both"/>
        <w:rPr>
          <w:rFonts w:ascii="Arial" w:eastAsia="Arial" w:hAnsi="Arial" w:cs="Arial"/>
          <w:color w:val="010000"/>
          <w:sz w:val="20"/>
          <w:szCs w:val="20"/>
        </w:rPr>
      </w:pPr>
      <w:r>
        <w:rPr>
          <w:rFonts w:ascii="Arial" w:hAnsi="Arial"/>
          <w:color w:val="010000"/>
          <w:sz w:val="20"/>
        </w:rPr>
        <w:t>On April 24, 2024, IDICO Investment Construction Oil and Natural Gas JSC announced General Mandate No. 05/NQ-</w:t>
      </w:r>
      <w:r w:rsidR="007136A7">
        <w:rPr>
          <w:rFonts w:ascii="Arial" w:hAnsi="Arial"/>
          <w:color w:val="010000"/>
          <w:sz w:val="20"/>
        </w:rPr>
        <w:t>CT</w:t>
      </w:r>
      <w:r>
        <w:rPr>
          <w:rFonts w:ascii="Arial" w:hAnsi="Arial"/>
          <w:color w:val="010000"/>
          <w:sz w:val="20"/>
        </w:rPr>
        <w:t xml:space="preserve"> as follows:</w:t>
      </w:r>
    </w:p>
    <w:p w14:paraId="13A51F1F" w14:textId="162CED9E"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The General Meeting unanimously approved these following contents presented at the Meeting:</w:t>
      </w:r>
    </w:p>
    <w:p w14:paraId="40A7942C"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238"/>
        </w:tabs>
        <w:spacing w:after="120" w:line="360" w:lineRule="auto"/>
        <w:ind w:left="0"/>
        <w:jc w:val="both"/>
        <w:rPr>
          <w:rFonts w:ascii="Arial" w:eastAsia="Arial" w:hAnsi="Arial" w:cs="Arial"/>
          <w:color w:val="010000"/>
          <w:sz w:val="20"/>
          <w:szCs w:val="20"/>
        </w:rPr>
      </w:pPr>
      <w:r>
        <w:rPr>
          <w:rFonts w:ascii="Arial" w:hAnsi="Arial"/>
          <w:color w:val="010000"/>
          <w:sz w:val="20"/>
        </w:rPr>
        <w:t>Approve the Report on production and business results in 2023 and the Plan on production and business for 2024, with some main targets as follows:</w:t>
      </w:r>
    </w:p>
    <w:p w14:paraId="77EC2064" w14:textId="77777777" w:rsidR="00B42DE2" w:rsidRPr="00AC44A0" w:rsidRDefault="0011622E" w:rsidP="00E5593C">
      <w:pPr>
        <w:numPr>
          <w:ilvl w:val="1"/>
          <w:numId w:val="11"/>
        </w:numPr>
        <w:pBdr>
          <w:top w:val="nil"/>
          <w:left w:val="nil"/>
          <w:bottom w:val="nil"/>
          <w:right w:val="nil"/>
          <w:between w:val="nil"/>
        </w:pBdr>
        <w:tabs>
          <w:tab w:val="left" w:pos="360"/>
          <w:tab w:val="left" w:pos="432"/>
          <w:tab w:val="left" w:pos="2414"/>
        </w:tabs>
        <w:spacing w:after="120" w:line="360" w:lineRule="auto"/>
        <w:jc w:val="both"/>
        <w:rPr>
          <w:rFonts w:ascii="Arial" w:eastAsia="Arial" w:hAnsi="Arial" w:cs="Arial"/>
          <w:color w:val="010000"/>
          <w:sz w:val="20"/>
          <w:szCs w:val="20"/>
        </w:rPr>
      </w:pPr>
      <w:r>
        <w:rPr>
          <w:rFonts w:ascii="Arial" w:hAnsi="Arial"/>
          <w:color w:val="010000"/>
          <w:sz w:val="20"/>
        </w:rPr>
        <w:t>Production and business results in 2023:</w:t>
      </w:r>
    </w:p>
    <w:p w14:paraId="38A3965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3"/>
        <w:gridCol w:w="2979"/>
        <w:gridCol w:w="1933"/>
        <w:gridCol w:w="1627"/>
        <w:gridCol w:w="1755"/>
      </w:tblGrid>
      <w:tr w:rsidR="00B42DE2" w:rsidRPr="00AC44A0" w14:paraId="7482251C" w14:textId="77777777" w:rsidTr="00AC44A0">
        <w:tc>
          <w:tcPr>
            <w:tcW w:w="401" w:type="pct"/>
            <w:shd w:val="clear" w:color="auto" w:fill="auto"/>
            <w:tcMar>
              <w:top w:w="0" w:type="dxa"/>
              <w:bottom w:w="0" w:type="dxa"/>
            </w:tcMar>
            <w:vAlign w:val="center"/>
          </w:tcPr>
          <w:p w14:paraId="76CA49CF"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652" w:type="pct"/>
            <w:shd w:val="clear" w:color="auto" w:fill="auto"/>
            <w:tcMar>
              <w:top w:w="0" w:type="dxa"/>
              <w:bottom w:w="0" w:type="dxa"/>
            </w:tcMar>
            <w:vAlign w:val="center"/>
          </w:tcPr>
          <w:p w14:paraId="497E86BB"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Major targets</w:t>
            </w:r>
          </w:p>
        </w:tc>
        <w:tc>
          <w:tcPr>
            <w:tcW w:w="1072" w:type="pct"/>
            <w:shd w:val="clear" w:color="auto" w:fill="auto"/>
            <w:tcMar>
              <w:top w:w="0" w:type="dxa"/>
              <w:bottom w:w="0" w:type="dxa"/>
            </w:tcMar>
            <w:vAlign w:val="center"/>
          </w:tcPr>
          <w:p w14:paraId="16038994"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Plan 2023 (adjusted)</w:t>
            </w:r>
          </w:p>
        </w:tc>
        <w:tc>
          <w:tcPr>
            <w:tcW w:w="902" w:type="pct"/>
            <w:shd w:val="clear" w:color="auto" w:fill="auto"/>
            <w:tcMar>
              <w:top w:w="0" w:type="dxa"/>
              <w:bottom w:w="0" w:type="dxa"/>
            </w:tcMar>
            <w:vAlign w:val="center"/>
          </w:tcPr>
          <w:p w14:paraId="20C1BDD9"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973" w:type="pct"/>
            <w:shd w:val="clear" w:color="auto" w:fill="auto"/>
            <w:tcMar>
              <w:top w:w="0" w:type="dxa"/>
              <w:bottom w:w="0" w:type="dxa"/>
            </w:tcMar>
            <w:vAlign w:val="center"/>
          </w:tcPr>
          <w:p w14:paraId="439CE175"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Results 2023/ Adjusted Plan 2023</w:t>
            </w:r>
          </w:p>
        </w:tc>
      </w:tr>
      <w:tr w:rsidR="00B42DE2" w:rsidRPr="00AC44A0" w14:paraId="3A963B1A" w14:textId="77777777" w:rsidTr="00AC44A0">
        <w:tc>
          <w:tcPr>
            <w:tcW w:w="401" w:type="pct"/>
            <w:shd w:val="clear" w:color="auto" w:fill="auto"/>
            <w:tcMar>
              <w:top w:w="0" w:type="dxa"/>
              <w:bottom w:w="0" w:type="dxa"/>
            </w:tcMar>
            <w:vAlign w:val="center"/>
          </w:tcPr>
          <w:p w14:paraId="3FD69AAF"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1652" w:type="pct"/>
            <w:shd w:val="clear" w:color="auto" w:fill="auto"/>
            <w:tcMar>
              <w:top w:w="0" w:type="dxa"/>
              <w:bottom w:w="0" w:type="dxa"/>
            </w:tcMar>
            <w:vAlign w:val="center"/>
          </w:tcPr>
          <w:p w14:paraId="26F8FAA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1072" w:type="pct"/>
            <w:shd w:val="clear" w:color="auto" w:fill="auto"/>
            <w:tcMar>
              <w:top w:w="0" w:type="dxa"/>
              <w:bottom w:w="0" w:type="dxa"/>
            </w:tcMar>
            <w:vAlign w:val="center"/>
          </w:tcPr>
          <w:p w14:paraId="38B397CE"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902" w:type="pct"/>
            <w:shd w:val="clear" w:color="auto" w:fill="auto"/>
            <w:tcMar>
              <w:top w:w="0" w:type="dxa"/>
              <w:bottom w:w="0" w:type="dxa"/>
            </w:tcMar>
            <w:vAlign w:val="center"/>
          </w:tcPr>
          <w:p w14:paraId="5CD37ED8"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973" w:type="pct"/>
            <w:shd w:val="clear" w:color="auto" w:fill="auto"/>
            <w:tcMar>
              <w:top w:w="0" w:type="dxa"/>
              <w:bottom w:w="0" w:type="dxa"/>
            </w:tcMar>
            <w:vAlign w:val="center"/>
          </w:tcPr>
          <w:p w14:paraId="38B60979"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 = 2/1</w:t>
            </w:r>
          </w:p>
        </w:tc>
      </w:tr>
      <w:tr w:rsidR="00B42DE2" w:rsidRPr="00AC44A0" w14:paraId="28F8106E" w14:textId="77777777" w:rsidTr="00AC44A0">
        <w:tc>
          <w:tcPr>
            <w:tcW w:w="401" w:type="pct"/>
            <w:shd w:val="clear" w:color="auto" w:fill="auto"/>
            <w:tcMar>
              <w:top w:w="0" w:type="dxa"/>
              <w:bottom w:w="0" w:type="dxa"/>
            </w:tcMar>
            <w:vAlign w:val="center"/>
          </w:tcPr>
          <w:p w14:paraId="30662D9C"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652" w:type="pct"/>
            <w:shd w:val="clear" w:color="auto" w:fill="auto"/>
            <w:tcMar>
              <w:top w:w="0" w:type="dxa"/>
              <w:bottom w:w="0" w:type="dxa"/>
            </w:tcMar>
            <w:vAlign w:val="center"/>
          </w:tcPr>
          <w:p w14:paraId="5AF0995B"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072" w:type="pct"/>
            <w:shd w:val="clear" w:color="auto" w:fill="auto"/>
            <w:tcMar>
              <w:top w:w="0" w:type="dxa"/>
              <w:bottom w:w="0" w:type="dxa"/>
            </w:tcMar>
            <w:vAlign w:val="center"/>
          </w:tcPr>
          <w:p w14:paraId="5B38102C"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230,000</w:t>
            </w:r>
          </w:p>
        </w:tc>
        <w:tc>
          <w:tcPr>
            <w:tcW w:w="902" w:type="pct"/>
            <w:shd w:val="clear" w:color="auto" w:fill="auto"/>
            <w:tcMar>
              <w:top w:w="0" w:type="dxa"/>
              <w:bottom w:w="0" w:type="dxa"/>
            </w:tcMar>
            <w:vAlign w:val="center"/>
          </w:tcPr>
          <w:p w14:paraId="10D15934"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252,606</w:t>
            </w:r>
          </w:p>
        </w:tc>
        <w:tc>
          <w:tcPr>
            <w:tcW w:w="973" w:type="pct"/>
            <w:shd w:val="clear" w:color="auto" w:fill="auto"/>
            <w:tcMar>
              <w:top w:w="0" w:type="dxa"/>
              <w:bottom w:w="0" w:type="dxa"/>
            </w:tcMar>
            <w:vAlign w:val="center"/>
          </w:tcPr>
          <w:p w14:paraId="4A57E4F9"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109.8%</w:t>
            </w:r>
          </w:p>
        </w:tc>
      </w:tr>
      <w:tr w:rsidR="00B42DE2" w:rsidRPr="00AC44A0" w14:paraId="31C2430C" w14:textId="77777777" w:rsidTr="00AC44A0">
        <w:tc>
          <w:tcPr>
            <w:tcW w:w="401" w:type="pct"/>
            <w:shd w:val="clear" w:color="auto" w:fill="auto"/>
            <w:tcMar>
              <w:top w:w="0" w:type="dxa"/>
              <w:bottom w:w="0" w:type="dxa"/>
            </w:tcMar>
            <w:vAlign w:val="center"/>
          </w:tcPr>
          <w:p w14:paraId="4F9B1BFC"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652" w:type="pct"/>
            <w:shd w:val="clear" w:color="auto" w:fill="auto"/>
            <w:tcMar>
              <w:top w:w="0" w:type="dxa"/>
              <w:bottom w:w="0" w:type="dxa"/>
            </w:tcMar>
            <w:vAlign w:val="center"/>
          </w:tcPr>
          <w:p w14:paraId="0C8D6C17" w14:textId="3D207155"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072" w:type="pct"/>
            <w:shd w:val="clear" w:color="auto" w:fill="auto"/>
            <w:tcMar>
              <w:top w:w="0" w:type="dxa"/>
              <w:bottom w:w="0" w:type="dxa"/>
            </w:tcMar>
            <w:vAlign w:val="center"/>
          </w:tcPr>
          <w:p w14:paraId="28786428"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75,500</w:t>
            </w:r>
          </w:p>
        </w:tc>
        <w:tc>
          <w:tcPr>
            <w:tcW w:w="902" w:type="pct"/>
            <w:shd w:val="clear" w:color="auto" w:fill="auto"/>
            <w:tcMar>
              <w:top w:w="0" w:type="dxa"/>
              <w:bottom w:w="0" w:type="dxa"/>
            </w:tcMar>
            <w:vAlign w:val="center"/>
          </w:tcPr>
          <w:p w14:paraId="2DA7160B"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82,394</w:t>
            </w:r>
          </w:p>
        </w:tc>
        <w:tc>
          <w:tcPr>
            <w:tcW w:w="973" w:type="pct"/>
            <w:shd w:val="clear" w:color="auto" w:fill="auto"/>
            <w:tcMar>
              <w:top w:w="0" w:type="dxa"/>
              <w:bottom w:w="0" w:type="dxa"/>
            </w:tcMar>
            <w:vAlign w:val="center"/>
          </w:tcPr>
          <w:p w14:paraId="7E0570B8"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109.1%</w:t>
            </w:r>
          </w:p>
        </w:tc>
      </w:tr>
      <w:tr w:rsidR="00B42DE2" w:rsidRPr="00AC44A0" w14:paraId="0BE79767" w14:textId="77777777" w:rsidTr="00AC44A0">
        <w:tc>
          <w:tcPr>
            <w:tcW w:w="401" w:type="pct"/>
            <w:shd w:val="clear" w:color="auto" w:fill="auto"/>
            <w:tcMar>
              <w:top w:w="0" w:type="dxa"/>
              <w:bottom w:w="0" w:type="dxa"/>
            </w:tcMar>
            <w:vAlign w:val="center"/>
          </w:tcPr>
          <w:p w14:paraId="0492F51C"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652" w:type="pct"/>
            <w:shd w:val="clear" w:color="auto" w:fill="auto"/>
            <w:tcMar>
              <w:top w:w="0" w:type="dxa"/>
              <w:bottom w:w="0" w:type="dxa"/>
            </w:tcMar>
            <w:vAlign w:val="center"/>
          </w:tcPr>
          <w:p w14:paraId="14D1ED2B"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072" w:type="pct"/>
            <w:shd w:val="clear" w:color="auto" w:fill="auto"/>
            <w:tcMar>
              <w:top w:w="0" w:type="dxa"/>
              <w:bottom w:w="0" w:type="dxa"/>
            </w:tcMar>
            <w:vAlign w:val="center"/>
          </w:tcPr>
          <w:p w14:paraId="548454B9"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60,400</w:t>
            </w:r>
          </w:p>
        </w:tc>
        <w:tc>
          <w:tcPr>
            <w:tcW w:w="902" w:type="pct"/>
            <w:shd w:val="clear" w:color="auto" w:fill="auto"/>
            <w:tcMar>
              <w:top w:w="0" w:type="dxa"/>
              <w:bottom w:w="0" w:type="dxa"/>
            </w:tcMar>
            <w:vAlign w:val="center"/>
          </w:tcPr>
          <w:p w14:paraId="73B32FB2"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66,038</w:t>
            </w:r>
          </w:p>
        </w:tc>
        <w:tc>
          <w:tcPr>
            <w:tcW w:w="973" w:type="pct"/>
            <w:shd w:val="clear" w:color="auto" w:fill="auto"/>
            <w:tcMar>
              <w:top w:w="0" w:type="dxa"/>
              <w:bottom w:w="0" w:type="dxa"/>
            </w:tcMar>
            <w:vAlign w:val="center"/>
          </w:tcPr>
          <w:p w14:paraId="3C39AE7C"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109.3%</w:t>
            </w:r>
          </w:p>
        </w:tc>
      </w:tr>
      <w:tr w:rsidR="00B42DE2" w:rsidRPr="00AC44A0" w14:paraId="0EC2769D" w14:textId="77777777" w:rsidTr="00AC44A0">
        <w:tc>
          <w:tcPr>
            <w:tcW w:w="401" w:type="pct"/>
            <w:shd w:val="clear" w:color="auto" w:fill="auto"/>
            <w:tcMar>
              <w:top w:w="0" w:type="dxa"/>
              <w:bottom w:w="0" w:type="dxa"/>
            </w:tcMar>
            <w:vAlign w:val="center"/>
          </w:tcPr>
          <w:p w14:paraId="4EA8016A"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652" w:type="pct"/>
            <w:shd w:val="clear" w:color="auto" w:fill="auto"/>
            <w:tcMar>
              <w:top w:w="0" w:type="dxa"/>
              <w:bottom w:w="0" w:type="dxa"/>
            </w:tcMar>
            <w:vAlign w:val="center"/>
          </w:tcPr>
          <w:p w14:paraId="1E4B25CA"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Investment and development value</w:t>
            </w:r>
          </w:p>
        </w:tc>
        <w:tc>
          <w:tcPr>
            <w:tcW w:w="1072" w:type="pct"/>
            <w:shd w:val="clear" w:color="auto" w:fill="auto"/>
            <w:tcMar>
              <w:top w:w="0" w:type="dxa"/>
              <w:bottom w:w="0" w:type="dxa"/>
            </w:tcMar>
            <w:vAlign w:val="center"/>
          </w:tcPr>
          <w:p w14:paraId="43F56789"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52,120</w:t>
            </w:r>
          </w:p>
        </w:tc>
        <w:tc>
          <w:tcPr>
            <w:tcW w:w="902" w:type="pct"/>
            <w:shd w:val="clear" w:color="auto" w:fill="auto"/>
            <w:tcMar>
              <w:top w:w="0" w:type="dxa"/>
              <w:bottom w:w="0" w:type="dxa"/>
            </w:tcMar>
            <w:vAlign w:val="center"/>
          </w:tcPr>
          <w:p w14:paraId="3891D29B"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33,261</w:t>
            </w:r>
          </w:p>
        </w:tc>
        <w:tc>
          <w:tcPr>
            <w:tcW w:w="973" w:type="pct"/>
            <w:shd w:val="clear" w:color="auto" w:fill="auto"/>
            <w:tcMar>
              <w:top w:w="0" w:type="dxa"/>
              <w:bottom w:w="0" w:type="dxa"/>
            </w:tcMar>
            <w:vAlign w:val="center"/>
          </w:tcPr>
          <w:p w14:paraId="4D4943FF"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63.8%</w:t>
            </w:r>
          </w:p>
        </w:tc>
      </w:tr>
      <w:tr w:rsidR="00B42DE2" w:rsidRPr="00AC44A0" w14:paraId="29A3E25D" w14:textId="77777777" w:rsidTr="00AC44A0">
        <w:tc>
          <w:tcPr>
            <w:tcW w:w="401" w:type="pct"/>
            <w:shd w:val="clear" w:color="auto" w:fill="auto"/>
            <w:tcMar>
              <w:top w:w="0" w:type="dxa"/>
              <w:bottom w:w="0" w:type="dxa"/>
            </w:tcMar>
            <w:vAlign w:val="center"/>
          </w:tcPr>
          <w:p w14:paraId="554D2ADE"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652" w:type="pct"/>
            <w:shd w:val="clear" w:color="auto" w:fill="auto"/>
            <w:tcMar>
              <w:top w:w="0" w:type="dxa"/>
              <w:bottom w:w="0" w:type="dxa"/>
            </w:tcMar>
            <w:vAlign w:val="center"/>
          </w:tcPr>
          <w:p w14:paraId="0C726B95"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1072" w:type="pct"/>
            <w:shd w:val="clear" w:color="auto" w:fill="auto"/>
            <w:tcMar>
              <w:top w:w="0" w:type="dxa"/>
              <w:bottom w:w="0" w:type="dxa"/>
            </w:tcMar>
            <w:vAlign w:val="center"/>
          </w:tcPr>
          <w:p w14:paraId="1C95D9F2"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50%</w:t>
            </w:r>
          </w:p>
        </w:tc>
        <w:tc>
          <w:tcPr>
            <w:tcW w:w="902" w:type="pct"/>
            <w:shd w:val="clear" w:color="auto" w:fill="auto"/>
            <w:tcMar>
              <w:top w:w="0" w:type="dxa"/>
              <w:bottom w:w="0" w:type="dxa"/>
            </w:tcMar>
            <w:vAlign w:val="center"/>
          </w:tcPr>
          <w:p w14:paraId="3BD6CFD6"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50%</w:t>
            </w:r>
          </w:p>
        </w:tc>
        <w:tc>
          <w:tcPr>
            <w:tcW w:w="973" w:type="pct"/>
            <w:shd w:val="clear" w:color="auto" w:fill="auto"/>
            <w:tcMar>
              <w:top w:w="0" w:type="dxa"/>
              <w:bottom w:w="0" w:type="dxa"/>
            </w:tcMar>
            <w:vAlign w:val="center"/>
          </w:tcPr>
          <w:p w14:paraId="3AF0240D"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100%</w:t>
            </w:r>
          </w:p>
        </w:tc>
      </w:tr>
    </w:tbl>
    <w:p w14:paraId="0F2FC2E2" w14:textId="77777777" w:rsidR="00B42DE2" w:rsidRPr="00AC44A0" w:rsidRDefault="0011622E" w:rsidP="00E5593C">
      <w:pPr>
        <w:numPr>
          <w:ilvl w:val="1"/>
          <w:numId w:val="11"/>
        </w:numPr>
        <w:pBdr>
          <w:top w:val="nil"/>
          <w:left w:val="nil"/>
          <w:bottom w:val="nil"/>
          <w:right w:val="nil"/>
          <w:between w:val="nil"/>
        </w:pBdr>
        <w:tabs>
          <w:tab w:val="left" w:pos="360"/>
          <w:tab w:val="left" w:pos="432"/>
          <w:tab w:val="left" w:pos="3643"/>
        </w:tabs>
        <w:spacing w:after="120" w:line="360" w:lineRule="auto"/>
        <w:jc w:val="both"/>
        <w:rPr>
          <w:rFonts w:ascii="Arial" w:eastAsia="Arial" w:hAnsi="Arial" w:cs="Arial"/>
          <w:color w:val="010000"/>
          <w:sz w:val="20"/>
          <w:szCs w:val="20"/>
        </w:rPr>
      </w:pPr>
      <w:r>
        <w:rPr>
          <w:rFonts w:ascii="Arial" w:hAnsi="Arial"/>
          <w:color w:val="010000"/>
          <w:sz w:val="20"/>
        </w:rPr>
        <w:t xml:space="preserve"> Production and business plan for 2024: </w:t>
      </w:r>
    </w:p>
    <w:p w14:paraId="36541B50" w14:textId="20A893E9" w:rsidR="00B42DE2" w:rsidRPr="00AC44A0" w:rsidRDefault="0011622E" w:rsidP="00E5593C">
      <w:pPr>
        <w:numPr>
          <w:ilvl w:val="0"/>
          <w:numId w:val="1"/>
        </w:numPr>
        <w:pBdr>
          <w:top w:val="nil"/>
          <w:left w:val="nil"/>
          <w:bottom w:val="nil"/>
          <w:right w:val="nil"/>
          <w:between w:val="nil"/>
        </w:pBdr>
        <w:tabs>
          <w:tab w:val="left" w:pos="360"/>
          <w:tab w:val="left" w:pos="432"/>
          <w:tab w:val="left" w:pos="3643"/>
        </w:tabs>
        <w:spacing w:after="120" w:line="360" w:lineRule="auto"/>
        <w:jc w:val="both"/>
        <w:rPr>
          <w:rFonts w:ascii="Arial" w:eastAsia="Arial" w:hAnsi="Arial" w:cs="Arial"/>
          <w:color w:val="010000"/>
          <w:sz w:val="20"/>
          <w:szCs w:val="20"/>
        </w:rPr>
      </w:pPr>
      <w:r>
        <w:rPr>
          <w:rFonts w:ascii="Arial" w:hAnsi="Arial"/>
          <w:color w:val="010000"/>
          <w:sz w:val="20"/>
        </w:rPr>
        <w:t>Revenue: VND 285 billion;</w:t>
      </w:r>
    </w:p>
    <w:p w14:paraId="53A8A347" w14:textId="77777777" w:rsidR="00B42DE2" w:rsidRPr="00AC44A0" w:rsidRDefault="0011622E" w:rsidP="00E5593C">
      <w:pPr>
        <w:numPr>
          <w:ilvl w:val="0"/>
          <w:numId w:val="1"/>
        </w:numPr>
        <w:pBdr>
          <w:top w:val="nil"/>
          <w:left w:val="nil"/>
          <w:bottom w:val="nil"/>
          <w:right w:val="nil"/>
          <w:between w:val="nil"/>
        </w:pBdr>
        <w:tabs>
          <w:tab w:val="left" w:pos="360"/>
          <w:tab w:val="left" w:pos="432"/>
          <w:tab w:val="left" w:pos="2132"/>
        </w:tabs>
        <w:spacing w:after="120" w:line="360" w:lineRule="auto"/>
        <w:jc w:val="both"/>
        <w:rPr>
          <w:rFonts w:ascii="Arial" w:eastAsia="Arial" w:hAnsi="Arial" w:cs="Arial"/>
          <w:color w:val="010000"/>
          <w:sz w:val="20"/>
          <w:szCs w:val="20"/>
        </w:rPr>
      </w:pPr>
      <w:r>
        <w:rPr>
          <w:rFonts w:ascii="Arial" w:hAnsi="Arial"/>
          <w:color w:val="010000"/>
          <w:sz w:val="20"/>
        </w:rPr>
        <w:t>Profit before tax: VND 82.5 billion;</w:t>
      </w:r>
    </w:p>
    <w:p w14:paraId="078CC51F" w14:textId="77777777" w:rsidR="00B42DE2" w:rsidRPr="00AC44A0" w:rsidRDefault="0011622E" w:rsidP="00E5593C">
      <w:pPr>
        <w:numPr>
          <w:ilvl w:val="0"/>
          <w:numId w:val="1"/>
        </w:numPr>
        <w:pBdr>
          <w:top w:val="nil"/>
          <w:left w:val="nil"/>
          <w:bottom w:val="nil"/>
          <w:right w:val="nil"/>
          <w:between w:val="nil"/>
        </w:pBdr>
        <w:tabs>
          <w:tab w:val="left" w:pos="360"/>
          <w:tab w:val="left" w:pos="432"/>
          <w:tab w:val="left" w:pos="2132"/>
        </w:tabs>
        <w:spacing w:after="120" w:line="360" w:lineRule="auto"/>
        <w:jc w:val="both"/>
        <w:rPr>
          <w:rFonts w:ascii="Arial" w:eastAsia="Arial" w:hAnsi="Arial" w:cs="Arial"/>
          <w:color w:val="010000"/>
          <w:sz w:val="20"/>
          <w:szCs w:val="20"/>
        </w:rPr>
      </w:pPr>
      <w:r>
        <w:rPr>
          <w:rFonts w:ascii="Arial" w:hAnsi="Arial"/>
          <w:color w:val="010000"/>
          <w:sz w:val="20"/>
        </w:rPr>
        <w:t>Profit after tax: VND 66.34 billion;</w:t>
      </w:r>
    </w:p>
    <w:p w14:paraId="3E72E012" w14:textId="77777777" w:rsidR="00B42DE2" w:rsidRPr="00AC44A0" w:rsidRDefault="0011622E" w:rsidP="00E5593C">
      <w:pPr>
        <w:numPr>
          <w:ilvl w:val="0"/>
          <w:numId w:val="1"/>
        </w:numPr>
        <w:pBdr>
          <w:top w:val="nil"/>
          <w:left w:val="nil"/>
          <w:bottom w:val="nil"/>
          <w:right w:val="nil"/>
          <w:between w:val="nil"/>
        </w:pBdr>
        <w:tabs>
          <w:tab w:val="left" w:pos="360"/>
          <w:tab w:val="left" w:pos="432"/>
          <w:tab w:val="left" w:pos="2132"/>
        </w:tabs>
        <w:spacing w:after="120" w:line="360" w:lineRule="auto"/>
        <w:jc w:val="both"/>
        <w:rPr>
          <w:rFonts w:ascii="Arial" w:eastAsia="Arial" w:hAnsi="Arial" w:cs="Arial"/>
          <w:color w:val="010000"/>
          <w:sz w:val="20"/>
          <w:szCs w:val="20"/>
        </w:rPr>
      </w:pPr>
      <w:r>
        <w:rPr>
          <w:rFonts w:ascii="Arial" w:hAnsi="Arial"/>
          <w:color w:val="010000"/>
          <w:sz w:val="20"/>
        </w:rPr>
        <w:t>Investment and development value VND 33.55 billion;</w:t>
      </w:r>
    </w:p>
    <w:p w14:paraId="580AFA04" w14:textId="77777777" w:rsidR="00B42DE2" w:rsidRPr="00AC44A0" w:rsidRDefault="0011622E" w:rsidP="00E5593C">
      <w:pPr>
        <w:numPr>
          <w:ilvl w:val="0"/>
          <w:numId w:val="1"/>
        </w:numPr>
        <w:pBdr>
          <w:top w:val="nil"/>
          <w:left w:val="nil"/>
          <w:bottom w:val="nil"/>
          <w:right w:val="nil"/>
          <w:between w:val="nil"/>
        </w:pBdr>
        <w:tabs>
          <w:tab w:val="left" w:pos="360"/>
          <w:tab w:val="left" w:pos="432"/>
          <w:tab w:val="left" w:pos="2132"/>
          <w:tab w:val="left" w:pos="4740"/>
        </w:tabs>
        <w:spacing w:after="120" w:line="360" w:lineRule="auto"/>
        <w:jc w:val="both"/>
        <w:rPr>
          <w:rFonts w:ascii="Arial" w:eastAsia="Arial" w:hAnsi="Arial" w:cs="Arial"/>
          <w:color w:val="010000"/>
          <w:sz w:val="20"/>
          <w:szCs w:val="20"/>
        </w:rPr>
      </w:pPr>
      <w:r>
        <w:rPr>
          <w:rFonts w:ascii="Arial" w:hAnsi="Arial"/>
          <w:color w:val="010000"/>
          <w:sz w:val="20"/>
        </w:rPr>
        <w:t>Dividend: 30% on the charter capital.</w:t>
      </w:r>
    </w:p>
    <w:p w14:paraId="38263F60"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244"/>
        </w:tabs>
        <w:spacing w:after="120" w:line="360" w:lineRule="auto"/>
        <w:ind w:left="0"/>
        <w:jc w:val="both"/>
        <w:rPr>
          <w:rFonts w:ascii="Arial" w:eastAsia="Arial" w:hAnsi="Arial" w:cs="Arial"/>
          <w:color w:val="010000"/>
          <w:sz w:val="20"/>
          <w:szCs w:val="20"/>
        </w:rPr>
      </w:pPr>
      <w:r>
        <w:rPr>
          <w:rFonts w:ascii="Arial" w:hAnsi="Arial"/>
          <w:color w:val="010000"/>
          <w:sz w:val="20"/>
        </w:rPr>
        <w:t>Approve the Report on the activities of the Board of Directors in 2023 and the operating plan for 2024;</w:t>
      </w:r>
    </w:p>
    <w:p w14:paraId="2E5A0A23"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244"/>
        </w:tabs>
        <w:spacing w:after="120" w:line="360" w:lineRule="auto"/>
        <w:ind w:left="0"/>
        <w:jc w:val="both"/>
        <w:rPr>
          <w:rFonts w:ascii="Arial" w:eastAsia="Arial" w:hAnsi="Arial" w:cs="Arial"/>
          <w:color w:val="010000"/>
          <w:sz w:val="20"/>
          <w:szCs w:val="20"/>
        </w:rPr>
      </w:pPr>
      <w:r>
        <w:rPr>
          <w:rFonts w:ascii="Arial" w:hAnsi="Arial"/>
          <w:color w:val="010000"/>
          <w:sz w:val="20"/>
        </w:rPr>
        <w:t>Approve the Report on Activities of the Supervisory Board in 2023 and Operating Plan for 2024;</w:t>
      </w:r>
    </w:p>
    <w:p w14:paraId="4F43A666"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834"/>
        </w:tabs>
        <w:spacing w:after="120" w:line="360" w:lineRule="auto"/>
        <w:ind w:left="0"/>
        <w:jc w:val="both"/>
        <w:rPr>
          <w:rFonts w:ascii="Arial" w:eastAsia="Arial" w:hAnsi="Arial" w:cs="Arial"/>
          <w:color w:val="010000"/>
          <w:sz w:val="20"/>
          <w:szCs w:val="20"/>
        </w:rPr>
      </w:pPr>
      <w:r>
        <w:rPr>
          <w:rFonts w:ascii="Arial" w:hAnsi="Arial"/>
          <w:color w:val="010000"/>
          <w:sz w:val="20"/>
        </w:rPr>
        <w:t>Approve the Audited Combined Financial Statements 2023 of the company with following main targets: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08"/>
        <w:gridCol w:w="4509"/>
      </w:tblGrid>
      <w:tr w:rsidR="00B42DE2" w:rsidRPr="00AC44A0" w14:paraId="7DA00512" w14:textId="77777777" w:rsidTr="00AC44A0">
        <w:tc>
          <w:tcPr>
            <w:tcW w:w="2500" w:type="pct"/>
            <w:shd w:val="clear" w:color="auto" w:fill="auto"/>
            <w:vAlign w:val="center"/>
          </w:tcPr>
          <w:p w14:paraId="71536E0B" w14:textId="77777777" w:rsidR="00B42DE2" w:rsidRPr="00AC44A0" w:rsidRDefault="0011622E" w:rsidP="00AC44A0">
            <w:pPr>
              <w:numPr>
                <w:ilvl w:val="0"/>
                <w:numId w:val="2"/>
              </w:numPr>
              <w:pBdr>
                <w:top w:val="nil"/>
                <w:left w:val="nil"/>
                <w:bottom w:val="nil"/>
                <w:right w:val="nil"/>
                <w:between w:val="nil"/>
              </w:pBdr>
              <w:tabs>
                <w:tab w:val="left" w:pos="330"/>
                <w:tab w:val="left" w:pos="360"/>
                <w:tab w:val="left" w:pos="432"/>
                <w:tab w:val="left" w:pos="2142"/>
              </w:tabs>
              <w:spacing w:after="120" w:line="360" w:lineRule="auto"/>
              <w:rPr>
                <w:rFonts w:ascii="Arial" w:eastAsia="Arial" w:hAnsi="Arial" w:cs="Arial"/>
                <w:color w:val="010000"/>
                <w:sz w:val="20"/>
                <w:szCs w:val="20"/>
              </w:rPr>
            </w:pPr>
            <w:r>
              <w:rPr>
                <w:rFonts w:ascii="Arial" w:hAnsi="Arial"/>
                <w:color w:val="010000"/>
                <w:sz w:val="20"/>
              </w:rPr>
              <w:t>Total assets</w:t>
            </w:r>
          </w:p>
          <w:p w14:paraId="28B197C8" w14:textId="77777777" w:rsidR="00B42DE2" w:rsidRPr="00AC44A0" w:rsidRDefault="0011622E" w:rsidP="00AC44A0">
            <w:pPr>
              <w:numPr>
                <w:ilvl w:val="0"/>
                <w:numId w:val="10"/>
              </w:numPr>
              <w:pBdr>
                <w:top w:val="nil"/>
                <w:left w:val="nil"/>
                <w:bottom w:val="nil"/>
                <w:right w:val="nil"/>
                <w:between w:val="nil"/>
              </w:pBdr>
              <w:tabs>
                <w:tab w:val="left" w:pos="330"/>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Short-term assets:</w:t>
            </w:r>
          </w:p>
          <w:p w14:paraId="401889D4" w14:textId="77777777" w:rsidR="00B42DE2" w:rsidRPr="00AC44A0" w:rsidRDefault="0011622E" w:rsidP="00AC44A0">
            <w:pPr>
              <w:numPr>
                <w:ilvl w:val="0"/>
                <w:numId w:val="10"/>
              </w:numPr>
              <w:pBdr>
                <w:top w:val="nil"/>
                <w:left w:val="nil"/>
                <w:bottom w:val="nil"/>
                <w:right w:val="nil"/>
                <w:between w:val="nil"/>
              </w:pBdr>
              <w:tabs>
                <w:tab w:val="left" w:pos="330"/>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Long-term assets:</w:t>
            </w:r>
          </w:p>
          <w:p w14:paraId="086C705F" w14:textId="77777777" w:rsidR="00B42DE2" w:rsidRPr="00AC44A0" w:rsidRDefault="0011622E" w:rsidP="00AC44A0">
            <w:pPr>
              <w:numPr>
                <w:ilvl w:val="0"/>
                <w:numId w:val="2"/>
              </w:numPr>
              <w:pBdr>
                <w:top w:val="nil"/>
                <w:left w:val="nil"/>
                <w:bottom w:val="nil"/>
                <w:right w:val="nil"/>
                <w:between w:val="nil"/>
              </w:pBdr>
              <w:tabs>
                <w:tab w:val="left" w:pos="330"/>
                <w:tab w:val="left" w:pos="360"/>
                <w:tab w:val="left" w:pos="432"/>
                <w:tab w:val="left" w:pos="2137"/>
              </w:tabs>
              <w:spacing w:after="120" w:line="360" w:lineRule="auto"/>
              <w:rPr>
                <w:rFonts w:ascii="Arial" w:eastAsia="Arial" w:hAnsi="Arial" w:cs="Arial"/>
                <w:color w:val="010000"/>
                <w:sz w:val="20"/>
                <w:szCs w:val="20"/>
              </w:rPr>
            </w:pPr>
            <w:r>
              <w:rPr>
                <w:rFonts w:ascii="Arial" w:hAnsi="Arial"/>
                <w:color w:val="010000"/>
                <w:sz w:val="20"/>
              </w:rPr>
              <w:t>Total capital source</w:t>
            </w:r>
          </w:p>
          <w:p w14:paraId="431FA4A2" w14:textId="77777777" w:rsidR="00B42DE2" w:rsidRPr="00AC44A0" w:rsidRDefault="0011622E" w:rsidP="00AC44A0">
            <w:pPr>
              <w:numPr>
                <w:ilvl w:val="0"/>
                <w:numId w:val="10"/>
              </w:numPr>
              <w:pBdr>
                <w:top w:val="nil"/>
                <w:left w:val="nil"/>
                <w:bottom w:val="nil"/>
                <w:right w:val="nil"/>
                <w:between w:val="nil"/>
              </w:pBdr>
              <w:tabs>
                <w:tab w:val="left" w:pos="330"/>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Payables:</w:t>
            </w:r>
          </w:p>
          <w:p w14:paraId="2FFBB691" w14:textId="00C26007" w:rsidR="00B42DE2" w:rsidRPr="00AC44A0" w:rsidRDefault="00E5593C" w:rsidP="00AC44A0">
            <w:pPr>
              <w:numPr>
                <w:ilvl w:val="0"/>
                <w:numId w:val="10"/>
              </w:numPr>
              <w:pBdr>
                <w:top w:val="nil"/>
                <w:left w:val="nil"/>
                <w:bottom w:val="nil"/>
                <w:right w:val="nil"/>
                <w:between w:val="nil"/>
              </w:pBdr>
              <w:tabs>
                <w:tab w:val="left" w:pos="330"/>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Owner</w:t>
            </w:r>
            <w:r w:rsidR="0011622E">
              <w:rPr>
                <w:rFonts w:ascii="Arial" w:hAnsi="Arial"/>
                <w:color w:val="010000"/>
                <w:sz w:val="20"/>
              </w:rPr>
              <w:t>’</w:t>
            </w:r>
            <w:r>
              <w:rPr>
                <w:rFonts w:ascii="Arial" w:hAnsi="Arial"/>
                <w:color w:val="010000"/>
                <w:sz w:val="20"/>
              </w:rPr>
              <w:t>s</w:t>
            </w:r>
            <w:r w:rsidR="0011622E">
              <w:rPr>
                <w:rFonts w:ascii="Arial" w:hAnsi="Arial"/>
                <w:color w:val="010000"/>
                <w:sz w:val="20"/>
              </w:rPr>
              <w:t xml:space="preserve"> equity</w:t>
            </w:r>
          </w:p>
          <w:p w14:paraId="669798BD" w14:textId="77777777" w:rsidR="00B42DE2" w:rsidRPr="00AC44A0" w:rsidRDefault="0011622E" w:rsidP="00AC44A0">
            <w:pPr>
              <w:numPr>
                <w:ilvl w:val="0"/>
                <w:numId w:val="2"/>
              </w:numPr>
              <w:pBdr>
                <w:top w:val="nil"/>
                <w:left w:val="nil"/>
                <w:bottom w:val="nil"/>
                <w:right w:val="nil"/>
                <w:between w:val="nil"/>
              </w:pBdr>
              <w:tabs>
                <w:tab w:val="left" w:pos="330"/>
                <w:tab w:val="left" w:pos="360"/>
                <w:tab w:val="left" w:pos="432"/>
                <w:tab w:val="left" w:pos="2142"/>
              </w:tabs>
              <w:spacing w:after="120" w:line="360" w:lineRule="auto"/>
              <w:rPr>
                <w:rFonts w:ascii="Arial" w:eastAsia="Arial" w:hAnsi="Arial" w:cs="Arial"/>
                <w:color w:val="010000"/>
                <w:sz w:val="20"/>
                <w:szCs w:val="20"/>
              </w:rPr>
            </w:pPr>
            <w:r>
              <w:rPr>
                <w:rFonts w:ascii="Arial" w:hAnsi="Arial"/>
                <w:color w:val="010000"/>
                <w:sz w:val="20"/>
              </w:rPr>
              <w:t>Total revenue:</w:t>
            </w:r>
          </w:p>
          <w:p w14:paraId="60CB701D" w14:textId="77777777" w:rsidR="00B42DE2" w:rsidRPr="00AC44A0" w:rsidRDefault="0011622E" w:rsidP="00AC44A0">
            <w:pPr>
              <w:numPr>
                <w:ilvl w:val="0"/>
                <w:numId w:val="2"/>
              </w:numPr>
              <w:pBdr>
                <w:top w:val="nil"/>
                <w:left w:val="nil"/>
                <w:bottom w:val="nil"/>
                <w:right w:val="nil"/>
                <w:between w:val="nil"/>
              </w:pBdr>
              <w:tabs>
                <w:tab w:val="left" w:pos="330"/>
                <w:tab w:val="left" w:pos="360"/>
                <w:tab w:val="left" w:pos="432"/>
                <w:tab w:val="left" w:pos="2142"/>
              </w:tabs>
              <w:spacing w:after="120" w:line="360" w:lineRule="auto"/>
              <w:rPr>
                <w:rFonts w:ascii="Arial" w:eastAsia="Arial" w:hAnsi="Arial" w:cs="Arial"/>
                <w:color w:val="010000"/>
                <w:sz w:val="20"/>
                <w:szCs w:val="20"/>
              </w:rPr>
            </w:pPr>
            <w:r>
              <w:rPr>
                <w:rFonts w:ascii="Arial" w:hAnsi="Arial"/>
                <w:color w:val="010000"/>
                <w:sz w:val="20"/>
              </w:rPr>
              <w:t>Total profit before tax:</w:t>
            </w:r>
          </w:p>
          <w:p w14:paraId="7798E020" w14:textId="77777777" w:rsidR="00B42DE2" w:rsidRPr="00AC44A0" w:rsidRDefault="0011622E" w:rsidP="00AC44A0">
            <w:pPr>
              <w:numPr>
                <w:ilvl w:val="0"/>
                <w:numId w:val="2"/>
              </w:numPr>
              <w:pBdr>
                <w:top w:val="nil"/>
                <w:left w:val="nil"/>
                <w:bottom w:val="nil"/>
                <w:right w:val="nil"/>
                <w:between w:val="nil"/>
              </w:pBdr>
              <w:tabs>
                <w:tab w:val="left" w:pos="330"/>
                <w:tab w:val="left" w:pos="360"/>
                <w:tab w:val="left" w:pos="432"/>
                <w:tab w:val="left" w:pos="2137"/>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500" w:type="pct"/>
            <w:shd w:val="clear" w:color="auto" w:fill="auto"/>
            <w:vAlign w:val="center"/>
          </w:tcPr>
          <w:p w14:paraId="3EDB126D"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VND 1,240,148,823,268</w:t>
            </w:r>
          </w:p>
          <w:p w14:paraId="755EC187"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VND 865,256,860,428</w:t>
            </w:r>
          </w:p>
          <w:p w14:paraId="4F334164" w14:textId="12221390"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VND </w:t>
            </w:r>
            <w:r w:rsidR="006B038F">
              <w:rPr>
                <w:rFonts w:ascii="Arial" w:hAnsi="Arial"/>
                <w:color w:val="010000"/>
                <w:sz w:val="20"/>
              </w:rPr>
              <w:t>3</w:t>
            </w:r>
            <w:r>
              <w:rPr>
                <w:rFonts w:ascii="Arial" w:hAnsi="Arial"/>
                <w:color w:val="010000"/>
                <w:sz w:val="20"/>
              </w:rPr>
              <w:t>74,891,962,840</w:t>
            </w:r>
          </w:p>
          <w:p w14:paraId="7C608226"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VND 1,240,148,823,268</w:t>
            </w:r>
          </w:p>
          <w:p w14:paraId="1D6DF06E"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VND 969,134,113,241</w:t>
            </w:r>
          </w:p>
          <w:p w14:paraId="1DAD72EC"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VND 271,014,710,027</w:t>
            </w:r>
          </w:p>
          <w:p w14:paraId="221E7BBD"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VND 252,606,023,107</w:t>
            </w:r>
          </w:p>
          <w:p w14:paraId="067DB763"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VND 82,394,522,583</w:t>
            </w:r>
          </w:p>
          <w:p w14:paraId="1FF10D82"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VND 66,038,477,239</w:t>
            </w:r>
          </w:p>
        </w:tc>
      </w:tr>
    </w:tbl>
    <w:p w14:paraId="7EEF835D" w14:textId="40553CCD" w:rsidR="00B42DE2" w:rsidRPr="00AC44A0" w:rsidRDefault="0011622E" w:rsidP="00E5593C">
      <w:pPr>
        <w:numPr>
          <w:ilvl w:val="0"/>
          <w:numId w:val="11"/>
        </w:numPr>
        <w:pBdr>
          <w:top w:val="nil"/>
          <w:left w:val="nil"/>
          <w:bottom w:val="nil"/>
          <w:right w:val="nil"/>
          <w:between w:val="nil"/>
        </w:pBdr>
        <w:tabs>
          <w:tab w:val="left" w:pos="360"/>
          <w:tab w:val="left" w:pos="432"/>
          <w:tab w:val="left" w:pos="2268"/>
        </w:tabs>
        <w:spacing w:after="120" w:line="360" w:lineRule="auto"/>
        <w:ind w:left="0"/>
        <w:jc w:val="both"/>
        <w:rPr>
          <w:rFonts w:ascii="Arial" w:eastAsia="Arial" w:hAnsi="Arial" w:cs="Arial"/>
          <w:color w:val="010000"/>
          <w:sz w:val="20"/>
          <w:szCs w:val="20"/>
        </w:rPr>
      </w:pPr>
      <w:r>
        <w:rPr>
          <w:rFonts w:ascii="Arial" w:hAnsi="Arial"/>
          <w:color w:val="010000"/>
          <w:sz w:val="20"/>
        </w:rPr>
        <w:lastRenderedPageBreak/>
        <w:t>Approve the plan on profit distribution and dividend payment in 2023, and the plan on profit distribution and dividend payment for 2024.</w:t>
      </w:r>
    </w:p>
    <w:p w14:paraId="458F827E" w14:textId="77777777" w:rsidR="00B42DE2" w:rsidRPr="00AC44A0" w:rsidRDefault="0011622E" w:rsidP="00E5593C">
      <w:pPr>
        <w:numPr>
          <w:ilvl w:val="1"/>
          <w:numId w:val="11"/>
        </w:numPr>
        <w:pBdr>
          <w:top w:val="nil"/>
          <w:left w:val="nil"/>
          <w:bottom w:val="nil"/>
          <w:right w:val="nil"/>
          <w:between w:val="nil"/>
        </w:pBdr>
        <w:tabs>
          <w:tab w:val="left" w:pos="360"/>
          <w:tab w:val="left" w:pos="432"/>
          <w:tab w:val="left" w:pos="2420"/>
        </w:tabs>
        <w:spacing w:after="120" w:line="360" w:lineRule="auto"/>
        <w:jc w:val="both"/>
        <w:rPr>
          <w:rFonts w:ascii="Arial" w:eastAsia="Arial" w:hAnsi="Arial" w:cs="Arial"/>
          <w:color w:val="010000"/>
          <w:sz w:val="20"/>
          <w:szCs w:val="20"/>
        </w:rPr>
      </w:pPr>
      <w:r>
        <w:rPr>
          <w:rFonts w:ascii="Arial" w:hAnsi="Arial"/>
          <w:color w:val="010000"/>
          <w:sz w:val="20"/>
        </w:rPr>
        <w:t>Plan on profit distribution and dividend payment in 2023</w:t>
      </w:r>
    </w:p>
    <w:p w14:paraId="2D8DF16B"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
        <w:gridCol w:w="1170"/>
        <w:gridCol w:w="5217"/>
        <w:gridCol w:w="2002"/>
      </w:tblGrid>
      <w:tr w:rsidR="00B42DE2" w:rsidRPr="00AC44A0" w14:paraId="35FCE236" w14:textId="77777777" w:rsidTr="00AC44A0">
        <w:tc>
          <w:tcPr>
            <w:tcW w:w="348" w:type="pct"/>
            <w:shd w:val="clear" w:color="auto" w:fill="auto"/>
            <w:tcMar>
              <w:top w:w="0" w:type="dxa"/>
              <w:bottom w:w="0" w:type="dxa"/>
            </w:tcMar>
            <w:vAlign w:val="center"/>
          </w:tcPr>
          <w:p w14:paraId="397360F3"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542" w:type="pct"/>
            <w:gridSpan w:val="2"/>
            <w:shd w:val="clear" w:color="auto" w:fill="auto"/>
            <w:tcMar>
              <w:top w:w="0" w:type="dxa"/>
              <w:bottom w:w="0" w:type="dxa"/>
            </w:tcMar>
            <w:vAlign w:val="center"/>
          </w:tcPr>
          <w:p w14:paraId="1A5B2445"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110" w:type="pct"/>
            <w:shd w:val="clear" w:color="auto" w:fill="auto"/>
            <w:tcMar>
              <w:top w:w="0" w:type="dxa"/>
              <w:bottom w:w="0" w:type="dxa"/>
            </w:tcMar>
            <w:vAlign w:val="center"/>
          </w:tcPr>
          <w:p w14:paraId="358B245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Value</w:t>
            </w:r>
          </w:p>
        </w:tc>
      </w:tr>
      <w:tr w:rsidR="00B42DE2" w:rsidRPr="00AC44A0" w14:paraId="6DD16F7B" w14:textId="77777777" w:rsidTr="00AC44A0">
        <w:tc>
          <w:tcPr>
            <w:tcW w:w="348" w:type="pct"/>
            <w:shd w:val="clear" w:color="auto" w:fill="auto"/>
            <w:tcMar>
              <w:top w:w="0" w:type="dxa"/>
              <w:bottom w:w="0" w:type="dxa"/>
            </w:tcMar>
            <w:vAlign w:val="center"/>
          </w:tcPr>
          <w:p w14:paraId="417F0098"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542" w:type="pct"/>
            <w:gridSpan w:val="2"/>
            <w:shd w:val="clear" w:color="auto" w:fill="auto"/>
            <w:tcMar>
              <w:top w:w="0" w:type="dxa"/>
              <w:bottom w:w="0" w:type="dxa"/>
            </w:tcMar>
            <w:vAlign w:val="center"/>
          </w:tcPr>
          <w:p w14:paraId="40468BEE" w14:textId="210A54DF"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Distributed profit after tax</w:t>
            </w:r>
            <w:r>
              <w:rPr>
                <w:rFonts w:ascii="Arial" w:hAnsi="Arial"/>
                <w:color w:val="010000"/>
                <w:sz w:val="20"/>
              </w:rPr>
              <w:br/>
              <w:t xml:space="preserve"> (1=1.1+1.2)</w:t>
            </w:r>
          </w:p>
        </w:tc>
        <w:tc>
          <w:tcPr>
            <w:tcW w:w="1110" w:type="pct"/>
            <w:shd w:val="clear" w:color="auto" w:fill="auto"/>
            <w:tcMar>
              <w:top w:w="0" w:type="dxa"/>
              <w:bottom w:w="0" w:type="dxa"/>
            </w:tcMar>
            <w:vAlign w:val="center"/>
          </w:tcPr>
          <w:p w14:paraId="6D72F297"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107,814,740,027</w:t>
            </w:r>
          </w:p>
        </w:tc>
      </w:tr>
      <w:tr w:rsidR="00B42DE2" w:rsidRPr="00AC44A0" w14:paraId="5317013F" w14:textId="77777777" w:rsidTr="00AC44A0">
        <w:tc>
          <w:tcPr>
            <w:tcW w:w="348" w:type="pct"/>
            <w:shd w:val="clear" w:color="auto" w:fill="auto"/>
            <w:tcMar>
              <w:top w:w="0" w:type="dxa"/>
              <w:bottom w:w="0" w:type="dxa"/>
            </w:tcMar>
            <w:vAlign w:val="center"/>
          </w:tcPr>
          <w:p w14:paraId="16AEBFCA"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3542" w:type="pct"/>
            <w:gridSpan w:val="2"/>
            <w:shd w:val="clear" w:color="auto" w:fill="auto"/>
            <w:tcMar>
              <w:top w:w="0" w:type="dxa"/>
              <w:bottom w:w="0" w:type="dxa"/>
            </w:tcMar>
            <w:vAlign w:val="center"/>
          </w:tcPr>
          <w:p w14:paraId="490076D5"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after tax of previous period</w:t>
            </w:r>
          </w:p>
        </w:tc>
        <w:tc>
          <w:tcPr>
            <w:tcW w:w="1110" w:type="pct"/>
            <w:shd w:val="clear" w:color="auto" w:fill="auto"/>
            <w:tcMar>
              <w:top w:w="0" w:type="dxa"/>
              <w:bottom w:w="0" w:type="dxa"/>
            </w:tcMar>
            <w:vAlign w:val="center"/>
          </w:tcPr>
          <w:p w14:paraId="31DBAA0A"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41,776,262,788</w:t>
            </w:r>
          </w:p>
        </w:tc>
      </w:tr>
      <w:tr w:rsidR="00B42DE2" w:rsidRPr="00AC44A0" w14:paraId="35F8F856" w14:textId="77777777" w:rsidTr="00AC44A0">
        <w:tc>
          <w:tcPr>
            <w:tcW w:w="348" w:type="pct"/>
            <w:shd w:val="clear" w:color="auto" w:fill="auto"/>
            <w:tcMar>
              <w:top w:w="0" w:type="dxa"/>
              <w:bottom w:w="0" w:type="dxa"/>
            </w:tcMar>
            <w:vAlign w:val="center"/>
          </w:tcPr>
          <w:p w14:paraId="3497AFE5"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3542" w:type="pct"/>
            <w:gridSpan w:val="2"/>
            <w:shd w:val="clear" w:color="auto" w:fill="auto"/>
            <w:tcMar>
              <w:top w:w="0" w:type="dxa"/>
              <w:bottom w:w="0" w:type="dxa"/>
            </w:tcMar>
            <w:vAlign w:val="center"/>
          </w:tcPr>
          <w:p w14:paraId="3A43AE25"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after tax in 2023:</w:t>
            </w:r>
          </w:p>
        </w:tc>
        <w:tc>
          <w:tcPr>
            <w:tcW w:w="1110" w:type="pct"/>
            <w:shd w:val="clear" w:color="auto" w:fill="auto"/>
            <w:tcMar>
              <w:top w:w="0" w:type="dxa"/>
              <w:bottom w:w="0" w:type="dxa"/>
            </w:tcMar>
            <w:vAlign w:val="center"/>
          </w:tcPr>
          <w:p w14:paraId="517CA5FF"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66,038,477,239</w:t>
            </w:r>
          </w:p>
        </w:tc>
      </w:tr>
      <w:tr w:rsidR="00B42DE2" w:rsidRPr="00AC44A0" w14:paraId="13CFF66F" w14:textId="77777777" w:rsidTr="00AC44A0">
        <w:tc>
          <w:tcPr>
            <w:tcW w:w="348" w:type="pct"/>
            <w:shd w:val="clear" w:color="auto" w:fill="auto"/>
            <w:tcMar>
              <w:top w:w="0" w:type="dxa"/>
              <w:bottom w:w="0" w:type="dxa"/>
            </w:tcMar>
            <w:vAlign w:val="center"/>
          </w:tcPr>
          <w:p w14:paraId="2B5BC6C6"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542" w:type="pct"/>
            <w:gridSpan w:val="2"/>
            <w:shd w:val="clear" w:color="auto" w:fill="auto"/>
            <w:tcMar>
              <w:top w:w="0" w:type="dxa"/>
              <w:bottom w:w="0" w:type="dxa"/>
            </w:tcMar>
            <w:vAlign w:val="center"/>
          </w:tcPr>
          <w:p w14:paraId="7AE5510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 payment in cash: Ratio 50% on the charter capital (*) (2=2.1+2.2):</w:t>
            </w:r>
          </w:p>
        </w:tc>
        <w:tc>
          <w:tcPr>
            <w:tcW w:w="1110" w:type="pct"/>
            <w:shd w:val="clear" w:color="auto" w:fill="auto"/>
            <w:tcMar>
              <w:top w:w="0" w:type="dxa"/>
              <w:bottom w:w="0" w:type="dxa"/>
            </w:tcMar>
            <w:vAlign w:val="center"/>
          </w:tcPr>
          <w:p w14:paraId="4A615A3F"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101,999,800,000</w:t>
            </w:r>
          </w:p>
        </w:tc>
      </w:tr>
      <w:tr w:rsidR="00B42DE2" w:rsidRPr="00AC44A0" w14:paraId="3349CD8E" w14:textId="77777777" w:rsidTr="00AC44A0">
        <w:tc>
          <w:tcPr>
            <w:tcW w:w="348" w:type="pct"/>
            <w:shd w:val="clear" w:color="auto" w:fill="auto"/>
            <w:tcMar>
              <w:top w:w="0" w:type="dxa"/>
              <w:bottom w:w="0" w:type="dxa"/>
            </w:tcMar>
            <w:vAlign w:val="center"/>
          </w:tcPr>
          <w:p w14:paraId="2C2DC81B"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3542" w:type="pct"/>
            <w:gridSpan w:val="2"/>
            <w:shd w:val="clear" w:color="auto" w:fill="auto"/>
            <w:tcMar>
              <w:top w:w="0" w:type="dxa"/>
              <w:bottom w:w="0" w:type="dxa"/>
            </w:tcMar>
            <w:vAlign w:val="center"/>
          </w:tcPr>
          <w:p w14:paraId="73628E18" w14:textId="48929D42"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Prepaid in cash </w:t>
            </w:r>
            <w:r w:rsidR="006B038F">
              <w:rPr>
                <w:rFonts w:ascii="Arial" w:hAnsi="Arial"/>
                <w:color w:val="010000"/>
                <w:sz w:val="20"/>
              </w:rPr>
              <w:t>at the rate of</w:t>
            </w:r>
            <w:r>
              <w:rPr>
                <w:rFonts w:ascii="Arial" w:hAnsi="Arial"/>
                <w:color w:val="010000"/>
                <w:sz w:val="20"/>
              </w:rPr>
              <w:t xml:space="preserve"> 35%</w:t>
            </w:r>
          </w:p>
        </w:tc>
        <w:tc>
          <w:tcPr>
            <w:tcW w:w="1110" w:type="pct"/>
            <w:shd w:val="clear" w:color="auto" w:fill="auto"/>
            <w:tcMar>
              <w:top w:w="0" w:type="dxa"/>
              <w:bottom w:w="0" w:type="dxa"/>
            </w:tcMar>
            <w:vAlign w:val="center"/>
          </w:tcPr>
          <w:p w14:paraId="26F22A34"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71,399,860,000</w:t>
            </w:r>
          </w:p>
        </w:tc>
      </w:tr>
      <w:tr w:rsidR="00B42DE2" w:rsidRPr="00AC44A0" w14:paraId="661A138F" w14:textId="77777777" w:rsidTr="00AC44A0">
        <w:tc>
          <w:tcPr>
            <w:tcW w:w="348" w:type="pct"/>
            <w:shd w:val="clear" w:color="auto" w:fill="auto"/>
            <w:tcMar>
              <w:top w:w="0" w:type="dxa"/>
              <w:bottom w:w="0" w:type="dxa"/>
            </w:tcMar>
            <w:vAlign w:val="center"/>
          </w:tcPr>
          <w:p w14:paraId="315F910F" w14:textId="77777777" w:rsidR="00B42DE2" w:rsidRPr="00AC44A0" w:rsidRDefault="00B42DE2" w:rsidP="00AC44A0">
            <w:pPr>
              <w:tabs>
                <w:tab w:val="left" w:pos="360"/>
                <w:tab w:val="left" w:pos="432"/>
              </w:tabs>
              <w:spacing w:after="120" w:line="360" w:lineRule="auto"/>
              <w:jc w:val="center"/>
              <w:rPr>
                <w:rFonts w:ascii="Arial" w:eastAsia="Arial" w:hAnsi="Arial" w:cs="Arial"/>
                <w:color w:val="010000"/>
                <w:sz w:val="20"/>
                <w:szCs w:val="20"/>
              </w:rPr>
            </w:pPr>
          </w:p>
        </w:tc>
        <w:tc>
          <w:tcPr>
            <w:tcW w:w="649" w:type="pct"/>
            <w:shd w:val="clear" w:color="auto" w:fill="auto"/>
            <w:tcMar>
              <w:top w:w="0" w:type="dxa"/>
              <w:bottom w:w="0" w:type="dxa"/>
            </w:tcMar>
            <w:vAlign w:val="center"/>
          </w:tcPr>
          <w:p w14:paraId="3A4CC97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which:</w:t>
            </w:r>
          </w:p>
        </w:tc>
        <w:tc>
          <w:tcPr>
            <w:tcW w:w="2893" w:type="pct"/>
            <w:shd w:val="clear" w:color="auto" w:fill="auto"/>
            <w:tcMar>
              <w:top w:w="0" w:type="dxa"/>
              <w:bottom w:w="0" w:type="dxa"/>
            </w:tcMar>
            <w:vAlign w:val="center"/>
          </w:tcPr>
          <w:p w14:paraId="2ED8912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First prepayment (20%) record date September 5, 2023</w:t>
            </w:r>
          </w:p>
        </w:tc>
        <w:tc>
          <w:tcPr>
            <w:tcW w:w="1110" w:type="pct"/>
            <w:shd w:val="clear" w:color="auto" w:fill="auto"/>
            <w:tcMar>
              <w:top w:w="0" w:type="dxa"/>
              <w:bottom w:w="0" w:type="dxa"/>
            </w:tcMar>
            <w:vAlign w:val="center"/>
          </w:tcPr>
          <w:p w14:paraId="45443E62"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40,799,920,000</w:t>
            </w:r>
          </w:p>
        </w:tc>
      </w:tr>
      <w:tr w:rsidR="00B42DE2" w:rsidRPr="00AC44A0" w14:paraId="44999C9F" w14:textId="77777777" w:rsidTr="00AC44A0">
        <w:tc>
          <w:tcPr>
            <w:tcW w:w="348" w:type="pct"/>
            <w:shd w:val="clear" w:color="auto" w:fill="auto"/>
            <w:tcMar>
              <w:top w:w="0" w:type="dxa"/>
              <w:bottom w:w="0" w:type="dxa"/>
            </w:tcMar>
            <w:vAlign w:val="center"/>
          </w:tcPr>
          <w:p w14:paraId="116D4C9D" w14:textId="77777777" w:rsidR="00B42DE2" w:rsidRPr="00AC44A0" w:rsidRDefault="00B42DE2" w:rsidP="00AC44A0">
            <w:pPr>
              <w:tabs>
                <w:tab w:val="left" w:pos="360"/>
                <w:tab w:val="left" w:pos="432"/>
              </w:tabs>
              <w:spacing w:after="120" w:line="360" w:lineRule="auto"/>
              <w:jc w:val="center"/>
              <w:rPr>
                <w:rFonts w:ascii="Arial" w:eastAsia="Arial" w:hAnsi="Arial" w:cs="Arial"/>
                <w:color w:val="010000"/>
                <w:sz w:val="20"/>
                <w:szCs w:val="20"/>
              </w:rPr>
            </w:pPr>
          </w:p>
        </w:tc>
        <w:tc>
          <w:tcPr>
            <w:tcW w:w="649" w:type="pct"/>
            <w:shd w:val="clear" w:color="auto" w:fill="auto"/>
            <w:tcMar>
              <w:top w:w="0" w:type="dxa"/>
              <w:bottom w:w="0" w:type="dxa"/>
            </w:tcMar>
            <w:vAlign w:val="center"/>
          </w:tcPr>
          <w:p w14:paraId="2920D996" w14:textId="77777777" w:rsidR="00B42DE2" w:rsidRPr="00AC44A0" w:rsidRDefault="00B42DE2" w:rsidP="00AC44A0">
            <w:pPr>
              <w:tabs>
                <w:tab w:val="left" w:pos="360"/>
                <w:tab w:val="left" w:pos="432"/>
              </w:tabs>
              <w:spacing w:after="120" w:line="360" w:lineRule="auto"/>
              <w:rPr>
                <w:rFonts w:ascii="Arial" w:eastAsia="Arial" w:hAnsi="Arial" w:cs="Arial"/>
                <w:color w:val="010000"/>
                <w:sz w:val="20"/>
                <w:szCs w:val="20"/>
              </w:rPr>
            </w:pPr>
          </w:p>
        </w:tc>
        <w:tc>
          <w:tcPr>
            <w:tcW w:w="2893" w:type="pct"/>
            <w:shd w:val="clear" w:color="auto" w:fill="auto"/>
            <w:tcMar>
              <w:top w:w="0" w:type="dxa"/>
              <w:bottom w:w="0" w:type="dxa"/>
            </w:tcMar>
            <w:vAlign w:val="center"/>
          </w:tcPr>
          <w:p w14:paraId="6C480BF5"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Second prepayment (15%) record date January 3, 2024</w:t>
            </w:r>
          </w:p>
        </w:tc>
        <w:tc>
          <w:tcPr>
            <w:tcW w:w="1110" w:type="pct"/>
            <w:shd w:val="clear" w:color="auto" w:fill="auto"/>
            <w:tcMar>
              <w:top w:w="0" w:type="dxa"/>
              <w:bottom w:w="0" w:type="dxa"/>
            </w:tcMar>
            <w:vAlign w:val="center"/>
          </w:tcPr>
          <w:p w14:paraId="22FFA64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30,599,940,000</w:t>
            </w:r>
          </w:p>
        </w:tc>
      </w:tr>
      <w:tr w:rsidR="00B42DE2" w:rsidRPr="00AC44A0" w14:paraId="2B1893BD" w14:textId="77777777" w:rsidTr="00AC44A0">
        <w:tc>
          <w:tcPr>
            <w:tcW w:w="348" w:type="pct"/>
            <w:shd w:val="clear" w:color="auto" w:fill="auto"/>
            <w:tcMar>
              <w:top w:w="0" w:type="dxa"/>
              <w:bottom w:w="0" w:type="dxa"/>
            </w:tcMar>
            <w:vAlign w:val="center"/>
          </w:tcPr>
          <w:p w14:paraId="541A6284"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3542" w:type="pct"/>
            <w:gridSpan w:val="2"/>
            <w:shd w:val="clear" w:color="auto" w:fill="auto"/>
            <w:tcMar>
              <w:top w:w="0" w:type="dxa"/>
              <w:bottom w:w="0" w:type="dxa"/>
            </w:tcMar>
            <w:vAlign w:val="center"/>
          </w:tcPr>
          <w:p w14:paraId="13424B3B"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Remaining amount to be distributed: Ratio 15%</w:t>
            </w:r>
          </w:p>
        </w:tc>
        <w:tc>
          <w:tcPr>
            <w:tcW w:w="1110" w:type="pct"/>
            <w:shd w:val="clear" w:color="auto" w:fill="auto"/>
            <w:tcMar>
              <w:top w:w="0" w:type="dxa"/>
              <w:bottom w:w="0" w:type="dxa"/>
            </w:tcMar>
            <w:vAlign w:val="center"/>
          </w:tcPr>
          <w:p w14:paraId="714CD1C6"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30,599,940,000</w:t>
            </w:r>
          </w:p>
        </w:tc>
      </w:tr>
      <w:tr w:rsidR="00B42DE2" w:rsidRPr="00AC44A0" w14:paraId="4055BF17" w14:textId="77777777" w:rsidTr="00AC44A0">
        <w:tc>
          <w:tcPr>
            <w:tcW w:w="348" w:type="pct"/>
            <w:shd w:val="clear" w:color="auto" w:fill="auto"/>
            <w:tcMar>
              <w:top w:w="0" w:type="dxa"/>
              <w:bottom w:w="0" w:type="dxa"/>
            </w:tcMar>
            <w:vAlign w:val="center"/>
          </w:tcPr>
          <w:p w14:paraId="68E88868"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542" w:type="pct"/>
            <w:gridSpan w:val="2"/>
            <w:shd w:val="clear" w:color="auto" w:fill="auto"/>
            <w:tcMar>
              <w:top w:w="0" w:type="dxa"/>
              <w:bottom w:w="0" w:type="dxa"/>
            </w:tcMar>
            <w:vAlign w:val="center"/>
          </w:tcPr>
          <w:p w14:paraId="3BC5FA5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110" w:type="pct"/>
            <w:shd w:val="clear" w:color="auto" w:fill="auto"/>
            <w:tcMar>
              <w:top w:w="0" w:type="dxa"/>
              <w:bottom w:w="0" w:type="dxa"/>
            </w:tcMar>
            <w:vAlign w:val="center"/>
          </w:tcPr>
          <w:p w14:paraId="3520A48F"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1,145,771,586</w:t>
            </w:r>
          </w:p>
        </w:tc>
      </w:tr>
      <w:tr w:rsidR="00B42DE2" w:rsidRPr="00AC44A0" w14:paraId="1578CE4A" w14:textId="77777777" w:rsidTr="00AC44A0">
        <w:tc>
          <w:tcPr>
            <w:tcW w:w="348" w:type="pct"/>
            <w:shd w:val="clear" w:color="auto" w:fill="auto"/>
            <w:tcMar>
              <w:top w:w="0" w:type="dxa"/>
              <w:bottom w:w="0" w:type="dxa"/>
            </w:tcMar>
            <w:vAlign w:val="center"/>
          </w:tcPr>
          <w:p w14:paraId="3490B796" w14:textId="77777777" w:rsidR="00B42DE2" w:rsidRPr="00AC44A0" w:rsidRDefault="00B42DE2" w:rsidP="00AC44A0">
            <w:pPr>
              <w:tabs>
                <w:tab w:val="left" w:pos="360"/>
                <w:tab w:val="left" w:pos="432"/>
              </w:tabs>
              <w:spacing w:after="120" w:line="360" w:lineRule="auto"/>
              <w:jc w:val="center"/>
              <w:rPr>
                <w:rFonts w:ascii="Arial" w:eastAsia="Arial" w:hAnsi="Arial" w:cs="Arial"/>
                <w:color w:val="010000"/>
                <w:sz w:val="20"/>
                <w:szCs w:val="20"/>
              </w:rPr>
            </w:pPr>
          </w:p>
        </w:tc>
        <w:tc>
          <w:tcPr>
            <w:tcW w:w="3542" w:type="pct"/>
            <w:gridSpan w:val="2"/>
            <w:shd w:val="clear" w:color="auto" w:fill="auto"/>
            <w:tcMar>
              <w:top w:w="0" w:type="dxa"/>
              <w:bottom w:w="0" w:type="dxa"/>
            </w:tcMar>
            <w:vAlign w:val="center"/>
          </w:tcPr>
          <w:p w14:paraId="2EDFD45A"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Bonus fund for the Executive Board</w:t>
            </w:r>
          </w:p>
        </w:tc>
        <w:tc>
          <w:tcPr>
            <w:tcW w:w="1110" w:type="pct"/>
            <w:shd w:val="clear" w:color="auto" w:fill="auto"/>
            <w:tcMar>
              <w:top w:w="0" w:type="dxa"/>
              <w:bottom w:w="0" w:type="dxa"/>
            </w:tcMar>
            <w:vAlign w:val="center"/>
          </w:tcPr>
          <w:p w14:paraId="5BE258E2"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1,145,771,586</w:t>
            </w:r>
          </w:p>
        </w:tc>
      </w:tr>
      <w:tr w:rsidR="00B42DE2" w:rsidRPr="00AC44A0" w14:paraId="2FE1AC3A" w14:textId="77777777" w:rsidTr="00AC44A0">
        <w:tc>
          <w:tcPr>
            <w:tcW w:w="348" w:type="pct"/>
            <w:shd w:val="clear" w:color="auto" w:fill="auto"/>
            <w:tcMar>
              <w:top w:w="0" w:type="dxa"/>
              <w:bottom w:w="0" w:type="dxa"/>
            </w:tcMar>
            <w:vAlign w:val="center"/>
          </w:tcPr>
          <w:p w14:paraId="568EADD8" w14:textId="77777777" w:rsidR="00B42DE2" w:rsidRPr="00AC44A0" w:rsidRDefault="00B42DE2" w:rsidP="00AC44A0">
            <w:pPr>
              <w:tabs>
                <w:tab w:val="left" w:pos="360"/>
                <w:tab w:val="left" w:pos="432"/>
              </w:tabs>
              <w:spacing w:after="120" w:line="360" w:lineRule="auto"/>
              <w:jc w:val="center"/>
              <w:rPr>
                <w:rFonts w:ascii="Arial" w:eastAsia="Arial" w:hAnsi="Arial" w:cs="Arial"/>
                <w:color w:val="010000"/>
                <w:sz w:val="20"/>
                <w:szCs w:val="20"/>
              </w:rPr>
            </w:pPr>
          </w:p>
        </w:tc>
        <w:tc>
          <w:tcPr>
            <w:tcW w:w="649" w:type="pct"/>
            <w:shd w:val="clear" w:color="auto" w:fill="auto"/>
            <w:tcMar>
              <w:top w:w="0" w:type="dxa"/>
              <w:bottom w:w="0" w:type="dxa"/>
            </w:tcMar>
            <w:vAlign w:val="center"/>
          </w:tcPr>
          <w:p w14:paraId="3AB023D1"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which:</w:t>
            </w:r>
          </w:p>
        </w:tc>
        <w:tc>
          <w:tcPr>
            <w:tcW w:w="2893" w:type="pct"/>
            <w:shd w:val="clear" w:color="auto" w:fill="auto"/>
            <w:tcMar>
              <w:top w:w="0" w:type="dxa"/>
              <w:bottom w:w="0" w:type="dxa"/>
            </w:tcMar>
            <w:vAlign w:val="center"/>
          </w:tcPr>
          <w:p w14:paraId="125AD56E"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Completion rate (%)</w:t>
            </w:r>
          </w:p>
        </w:tc>
        <w:tc>
          <w:tcPr>
            <w:tcW w:w="1110" w:type="pct"/>
            <w:shd w:val="clear" w:color="auto" w:fill="auto"/>
            <w:tcMar>
              <w:top w:w="0" w:type="dxa"/>
              <w:bottom w:w="0" w:type="dxa"/>
            </w:tcMar>
            <w:vAlign w:val="center"/>
          </w:tcPr>
          <w:p w14:paraId="41BAA1E5"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300,000,000</w:t>
            </w:r>
          </w:p>
        </w:tc>
      </w:tr>
      <w:tr w:rsidR="00B42DE2" w:rsidRPr="00AC44A0" w14:paraId="6ABF710F" w14:textId="77777777" w:rsidTr="00AC44A0">
        <w:tc>
          <w:tcPr>
            <w:tcW w:w="348" w:type="pct"/>
            <w:shd w:val="clear" w:color="auto" w:fill="auto"/>
            <w:tcMar>
              <w:top w:w="0" w:type="dxa"/>
              <w:bottom w:w="0" w:type="dxa"/>
            </w:tcMar>
            <w:vAlign w:val="center"/>
          </w:tcPr>
          <w:p w14:paraId="7F990555" w14:textId="77777777" w:rsidR="00B42DE2" w:rsidRPr="00AC44A0" w:rsidRDefault="00B42DE2" w:rsidP="00AC44A0">
            <w:pPr>
              <w:tabs>
                <w:tab w:val="left" w:pos="360"/>
                <w:tab w:val="left" w:pos="432"/>
              </w:tabs>
              <w:spacing w:after="120" w:line="360" w:lineRule="auto"/>
              <w:jc w:val="center"/>
              <w:rPr>
                <w:rFonts w:ascii="Arial" w:eastAsia="Arial" w:hAnsi="Arial" w:cs="Arial"/>
                <w:color w:val="010000"/>
                <w:sz w:val="20"/>
                <w:szCs w:val="20"/>
              </w:rPr>
            </w:pPr>
          </w:p>
        </w:tc>
        <w:tc>
          <w:tcPr>
            <w:tcW w:w="649" w:type="pct"/>
            <w:shd w:val="clear" w:color="auto" w:fill="auto"/>
            <w:tcMar>
              <w:top w:w="0" w:type="dxa"/>
              <w:bottom w:w="0" w:type="dxa"/>
            </w:tcMar>
            <w:vAlign w:val="center"/>
          </w:tcPr>
          <w:p w14:paraId="2C6E8D09" w14:textId="77777777" w:rsidR="00B42DE2" w:rsidRPr="00AC44A0" w:rsidRDefault="00B42DE2" w:rsidP="00AC44A0">
            <w:pPr>
              <w:tabs>
                <w:tab w:val="left" w:pos="360"/>
                <w:tab w:val="left" w:pos="432"/>
              </w:tabs>
              <w:spacing w:after="120" w:line="360" w:lineRule="auto"/>
              <w:rPr>
                <w:rFonts w:ascii="Arial" w:eastAsia="Arial" w:hAnsi="Arial" w:cs="Arial"/>
                <w:color w:val="010000"/>
                <w:sz w:val="20"/>
                <w:szCs w:val="20"/>
              </w:rPr>
            </w:pPr>
          </w:p>
        </w:tc>
        <w:tc>
          <w:tcPr>
            <w:tcW w:w="2893" w:type="pct"/>
            <w:shd w:val="clear" w:color="auto" w:fill="auto"/>
            <w:tcMar>
              <w:top w:w="0" w:type="dxa"/>
              <w:bottom w:w="0" w:type="dxa"/>
            </w:tcMar>
            <w:vAlign w:val="center"/>
          </w:tcPr>
          <w:p w14:paraId="28254F3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Exceeding the profit plan 15% of the profit after tax exceeding the plan</w:t>
            </w:r>
          </w:p>
        </w:tc>
        <w:tc>
          <w:tcPr>
            <w:tcW w:w="1110" w:type="pct"/>
            <w:shd w:val="clear" w:color="auto" w:fill="auto"/>
            <w:tcMar>
              <w:top w:w="0" w:type="dxa"/>
              <w:bottom w:w="0" w:type="dxa"/>
            </w:tcMar>
            <w:vAlign w:val="center"/>
          </w:tcPr>
          <w:p w14:paraId="3A5BB1C4"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845,771,586</w:t>
            </w:r>
          </w:p>
        </w:tc>
      </w:tr>
      <w:tr w:rsidR="00B42DE2" w:rsidRPr="00AC44A0" w14:paraId="64939B5C" w14:textId="77777777" w:rsidTr="00AC44A0">
        <w:tc>
          <w:tcPr>
            <w:tcW w:w="348" w:type="pct"/>
            <w:shd w:val="clear" w:color="auto" w:fill="auto"/>
            <w:tcMar>
              <w:top w:w="0" w:type="dxa"/>
              <w:bottom w:w="0" w:type="dxa"/>
            </w:tcMar>
            <w:vAlign w:val="center"/>
          </w:tcPr>
          <w:p w14:paraId="4D6149E1"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542" w:type="pct"/>
            <w:gridSpan w:val="2"/>
            <w:shd w:val="clear" w:color="auto" w:fill="auto"/>
            <w:tcMar>
              <w:top w:w="0" w:type="dxa"/>
              <w:bottom w:w="0" w:type="dxa"/>
            </w:tcMar>
            <w:vAlign w:val="center"/>
          </w:tcPr>
          <w:p w14:paraId="285C1920" w14:textId="77777777" w:rsidR="00B42DE2" w:rsidRPr="00AC44A0" w:rsidRDefault="0011622E" w:rsidP="00AC44A0">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Remaining retained profit after tax in 2021 (4=-2--3-3)</w:t>
            </w:r>
          </w:p>
        </w:tc>
        <w:tc>
          <w:tcPr>
            <w:tcW w:w="1110" w:type="pct"/>
            <w:shd w:val="clear" w:color="auto" w:fill="auto"/>
            <w:tcMar>
              <w:top w:w="0" w:type="dxa"/>
              <w:bottom w:w="0" w:type="dxa"/>
            </w:tcMar>
            <w:vAlign w:val="center"/>
          </w:tcPr>
          <w:p w14:paraId="703CB90A" w14:textId="77777777" w:rsidR="00B42DE2" w:rsidRPr="00AC44A0" w:rsidRDefault="0011622E" w:rsidP="00AC44A0">
            <w:pPr>
              <w:pBdr>
                <w:top w:val="nil"/>
                <w:left w:val="nil"/>
                <w:bottom w:val="nil"/>
                <w:right w:val="nil"/>
                <w:between w:val="nil"/>
              </w:pBdr>
              <w:tabs>
                <w:tab w:val="left" w:pos="360"/>
                <w:tab w:val="left" w:pos="432"/>
              </w:tabs>
              <w:spacing w:after="120" w:line="360" w:lineRule="auto"/>
              <w:jc w:val="right"/>
              <w:rPr>
                <w:rFonts w:ascii="Arial" w:eastAsia="Arial" w:hAnsi="Arial" w:cs="Arial"/>
                <w:color w:val="010000"/>
                <w:sz w:val="20"/>
                <w:szCs w:val="20"/>
              </w:rPr>
            </w:pPr>
            <w:r>
              <w:rPr>
                <w:rFonts w:ascii="Arial" w:hAnsi="Arial"/>
                <w:color w:val="010000"/>
                <w:sz w:val="20"/>
              </w:rPr>
              <w:t>4,669,168,441</w:t>
            </w:r>
          </w:p>
        </w:tc>
      </w:tr>
    </w:tbl>
    <w:p w14:paraId="0DBBF377" w14:textId="77777777"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Charter capital used as the basis for dividend payment: VND 203,999,600,000, equivalent to 20,399,960 common shares with a par value of VND 10,000/share.</w:t>
      </w:r>
    </w:p>
    <w:p w14:paraId="7E77C3F0" w14:textId="77777777" w:rsidR="00B42DE2" w:rsidRPr="00AC44A0" w:rsidRDefault="0011622E" w:rsidP="00E5593C">
      <w:pPr>
        <w:numPr>
          <w:ilvl w:val="0"/>
          <w:numId w:val="3"/>
        </w:numPr>
        <w:pBdr>
          <w:top w:val="nil"/>
          <w:left w:val="nil"/>
          <w:bottom w:val="nil"/>
          <w:right w:val="nil"/>
          <w:between w:val="nil"/>
        </w:pBdr>
        <w:tabs>
          <w:tab w:val="left" w:pos="360"/>
          <w:tab w:val="left" w:pos="432"/>
          <w:tab w:val="left" w:pos="2092"/>
        </w:tabs>
        <w:spacing w:after="120" w:line="360" w:lineRule="auto"/>
        <w:ind w:left="0" w:firstLine="0"/>
        <w:jc w:val="both"/>
        <w:rPr>
          <w:rFonts w:ascii="Arial" w:eastAsia="Arial" w:hAnsi="Arial" w:cs="Arial"/>
          <w:color w:val="010000"/>
          <w:sz w:val="20"/>
          <w:szCs w:val="20"/>
        </w:rPr>
      </w:pPr>
      <w:r>
        <w:rPr>
          <w:rFonts w:ascii="Arial" w:hAnsi="Arial"/>
          <w:color w:val="010000"/>
          <w:sz w:val="20"/>
        </w:rPr>
        <w:t>Implementation:</w:t>
      </w:r>
    </w:p>
    <w:p w14:paraId="53A4D8BB" w14:textId="77777777" w:rsidR="00B42DE2" w:rsidRPr="00AC44A0" w:rsidRDefault="0011622E" w:rsidP="00E5593C">
      <w:pPr>
        <w:numPr>
          <w:ilvl w:val="0"/>
          <w:numId w:val="4"/>
        </w:numPr>
        <w:pBdr>
          <w:top w:val="nil"/>
          <w:left w:val="nil"/>
          <w:bottom w:val="nil"/>
          <w:right w:val="nil"/>
          <w:between w:val="nil"/>
        </w:pBdr>
        <w:tabs>
          <w:tab w:val="left" w:pos="360"/>
          <w:tab w:val="left" w:pos="432"/>
          <w:tab w:val="left" w:pos="2164"/>
        </w:tabs>
        <w:spacing w:after="120" w:line="360" w:lineRule="auto"/>
        <w:jc w:val="both"/>
        <w:rPr>
          <w:rFonts w:ascii="Arial" w:eastAsia="Arial" w:hAnsi="Arial" w:cs="Arial"/>
          <w:color w:val="010000"/>
          <w:sz w:val="20"/>
          <w:szCs w:val="20"/>
        </w:rPr>
      </w:pPr>
      <w:r>
        <w:rPr>
          <w:rFonts w:ascii="Arial" w:hAnsi="Arial"/>
          <w:color w:val="010000"/>
          <w:sz w:val="20"/>
        </w:rPr>
        <w:lastRenderedPageBreak/>
        <w:t>The company has made an interim dividend payment in cash at a rate of 35%.</w:t>
      </w:r>
    </w:p>
    <w:p w14:paraId="761B523A" w14:textId="3BEA98FA" w:rsidR="00B42DE2" w:rsidRPr="00AC44A0" w:rsidRDefault="0011622E" w:rsidP="00E5593C">
      <w:pPr>
        <w:numPr>
          <w:ilvl w:val="0"/>
          <w:numId w:val="4"/>
        </w:numPr>
        <w:pBdr>
          <w:top w:val="nil"/>
          <w:left w:val="nil"/>
          <w:bottom w:val="nil"/>
          <w:right w:val="nil"/>
          <w:between w:val="nil"/>
        </w:pBdr>
        <w:tabs>
          <w:tab w:val="left" w:pos="360"/>
          <w:tab w:val="left" w:pos="432"/>
          <w:tab w:val="left" w:pos="2185"/>
        </w:tabs>
        <w:spacing w:after="120" w:line="360" w:lineRule="auto"/>
        <w:jc w:val="both"/>
        <w:rPr>
          <w:rFonts w:ascii="Arial" w:eastAsia="Arial" w:hAnsi="Arial" w:cs="Arial"/>
          <w:color w:val="010000"/>
          <w:sz w:val="20"/>
          <w:szCs w:val="20"/>
        </w:rPr>
      </w:pPr>
      <w:r>
        <w:rPr>
          <w:rFonts w:ascii="Arial" w:hAnsi="Arial"/>
          <w:color w:val="010000"/>
          <w:sz w:val="20"/>
        </w:rPr>
        <w:t>The General Meeting has authorized the Company's Board of Directors to choose an appropriate time to pay the remaining dividend for the year 2023 at a rate of 15% in 2024.</w:t>
      </w:r>
    </w:p>
    <w:p w14:paraId="112E622D" w14:textId="77777777" w:rsidR="00B42DE2" w:rsidRPr="00AC44A0" w:rsidRDefault="0011622E" w:rsidP="00E5593C">
      <w:pPr>
        <w:numPr>
          <w:ilvl w:val="1"/>
          <w:numId w:val="11"/>
        </w:numPr>
        <w:pBdr>
          <w:top w:val="nil"/>
          <w:left w:val="nil"/>
          <w:bottom w:val="nil"/>
          <w:right w:val="nil"/>
          <w:between w:val="nil"/>
        </w:pBdr>
        <w:tabs>
          <w:tab w:val="left" w:pos="360"/>
          <w:tab w:val="left" w:pos="432"/>
          <w:tab w:val="left" w:pos="2404"/>
        </w:tabs>
        <w:spacing w:after="120" w:line="360" w:lineRule="auto"/>
        <w:jc w:val="both"/>
        <w:rPr>
          <w:rFonts w:ascii="Arial" w:eastAsia="Arial" w:hAnsi="Arial" w:cs="Arial"/>
          <w:color w:val="010000"/>
          <w:sz w:val="20"/>
          <w:szCs w:val="20"/>
        </w:rPr>
      </w:pPr>
      <w:r>
        <w:rPr>
          <w:rFonts w:ascii="Arial" w:hAnsi="Arial"/>
          <w:color w:val="010000"/>
          <w:sz w:val="20"/>
        </w:rPr>
        <w:t>Plan on profit distribution and dividend payment in 2024:</w:t>
      </w:r>
    </w:p>
    <w:p w14:paraId="3B79096D" w14:textId="77777777" w:rsidR="00B42DE2" w:rsidRPr="00AC44A0" w:rsidRDefault="0011622E" w:rsidP="00E5593C">
      <w:pPr>
        <w:numPr>
          <w:ilvl w:val="0"/>
          <w:numId w:val="6"/>
        </w:numPr>
        <w:pBdr>
          <w:top w:val="nil"/>
          <w:left w:val="nil"/>
          <w:bottom w:val="nil"/>
          <w:right w:val="nil"/>
          <w:between w:val="nil"/>
        </w:pBdr>
        <w:tabs>
          <w:tab w:val="left" w:pos="360"/>
          <w:tab w:val="left" w:pos="432"/>
          <w:tab w:val="left" w:pos="2118"/>
        </w:tabs>
        <w:spacing w:after="120" w:line="360" w:lineRule="auto"/>
        <w:jc w:val="both"/>
        <w:rPr>
          <w:rFonts w:ascii="Arial" w:eastAsia="Arial" w:hAnsi="Arial" w:cs="Arial"/>
          <w:color w:val="010000"/>
          <w:sz w:val="20"/>
          <w:szCs w:val="20"/>
        </w:rPr>
      </w:pPr>
      <w:r>
        <w:rPr>
          <w:rFonts w:ascii="Arial" w:hAnsi="Arial"/>
          <w:color w:val="010000"/>
          <w:sz w:val="20"/>
        </w:rPr>
        <w:t xml:space="preserve">Allocation of a bonus fund for the Executive Board from the profit after tax of 2024 as follows: </w:t>
      </w:r>
    </w:p>
    <w:p w14:paraId="2D6B7377" w14:textId="77777777" w:rsidR="00B42DE2" w:rsidRPr="00AC44A0" w:rsidRDefault="0011622E" w:rsidP="00E5593C">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Completion of the profit plan: VND 300,000,000.</w:t>
      </w:r>
    </w:p>
    <w:p w14:paraId="0E39600B" w14:textId="77777777" w:rsidR="00B42DE2" w:rsidRPr="00AC44A0" w:rsidRDefault="0011622E" w:rsidP="00E5593C">
      <w:pPr>
        <w:numPr>
          <w:ilvl w:val="0"/>
          <w:numId w:val="5"/>
        </w:numPr>
        <w:pBdr>
          <w:top w:val="nil"/>
          <w:left w:val="nil"/>
          <w:bottom w:val="nil"/>
          <w:right w:val="nil"/>
          <w:between w:val="nil"/>
        </w:pBdr>
        <w:tabs>
          <w:tab w:val="left" w:pos="360"/>
          <w:tab w:val="left" w:pos="432"/>
          <w:tab w:val="left" w:pos="2204"/>
        </w:tabs>
        <w:spacing w:after="120" w:line="360" w:lineRule="auto"/>
        <w:ind w:left="0" w:firstLine="0"/>
        <w:jc w:val="both"/>
        <w:rPr>
          <w:rFonts w:ascii="Arial" w:eastAsia="Arial" w:hAnsi="Arial" w:cs="Arial"/>
          <w:color w:val="010000"/>
          <w:sz w:val="20"/>
          <w:szCs w:val="20"/>
        </w:rPr>
      </w:pPr>
      <w:r>
        <w:rPr>
          <w:rFonts w:ascii="Arial" w:hAnsi="Arial"/>
          <w:color w:val="010000"/>
          <w:sz w:val="20"/>
        </w:rPr>
        <w:t>Exceeding the profit plan: Up to 20% profit after tax exceeding the plan 5%</w:t>
      </w:r>
    </w:p>
    <w:p w14:paraId="4A26483B" w14:textId="77777777" w:rsidR="00B42DE2" w:rsidRPr="00AC44A0" w:rsidRDefault="0011622E" w:rsidP="00E5593C">
      <w:pPr>
        <w:numPr>
          <w:ilvl w:val="0"/>
          <w:numId w:val="6"/>
        </w:numPr>
        <w:pBdr>
          <w:top w:val="nil"/>
          <w:left w:val="nil"/>
          <w:bottom w:val="nil"/>
          <w:right w:val="nil"/>
          <w:between w:val="nil"/>
        </w:pBdr>
        <w:tabs>
          <w:tab w:val="left" w:pos="360"/>
          <w:tab w:val="left" w:pos="432"/>
          <w:tab w:val="left" w:pos="2594"/>
        </w:tabs>
        <w:spacing w:after="120" w:line="360" w:lineRule="auto"/>
        <w:jc w:val="both"/>
        <w:rPr>
          <w:rFonts w:ascii="Arial" w:eastAsia="Arial" w:hAnsi="Arial" w:cs="Arial"/>
          <w:color w:val="010000"/>
          <w:sz w:val="20"/>
          <w:szCs w:val="20"/>
        </w:rPr>
      </w:pPr>
      <w:r>
        <w:rPr>
          <w:rFonts w:ascii="Arial" w:hAnsi="Arial"/>
          <w:color w:val="010000"/>
          <w:sz w:val="20"/>
        </w:rPr>
        <w:t>Expected dividend payment rate in 2024: 30% on the charter capital.</w:t>
      </w:r>
    </w:p>
    <w:p w14:paraId="39ADEF27"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228"/>
        </w:tabs>
        <w:spacing w:after="120" w:line="360" w:lineRule="auto"/>
        <w:ind w:left="0"/>
        <w:jc w:val="both"/>
        <w:rPr>
          <w:rFonts w:ascii="Arial" w:eastAsia="Arial" w:hAnsi="Arial" w:cs="Arial"/>
          <w:color w:val="010000"/>
          <w:sz w:val="20"/>
          <w:szCs w:val="20"/>
        </w:rPr>
      </w:pPr>
      <w:r>
        <w:rPr>
          <w:rFonts w:ascii="Arial" w:hAnsi="Arial"/>
          <w:color w:val="010000"/>
          <w:sz w:val="20"/>
        </w:rPr>
        <w:t>Approve the total amount of salary, bonuses and remuneration payment and other benefits for the Board of Directors and the Supervisory Board for 2023 and the plan for 2024.</w:t>
      </w:r>
    </w:p>
    <w:p w14:paraId="60BC7E56" w14:textId="77777777" w:rsidR="00B42DE2" w:rsidRPr="00AC44A0" w:rsidRDefault="0011622E" w:rsidP="00E5593C">
      <w:pPr>
        <w:numPr>
          <w:ilvl w:val="1"/>
          <w:numId w:val="11"/>
        </w:numPr>
        <w:pBdr>
          <w:top w:val="nil"/>
          <w:left w:val="nil"/>
          <w:bottom w:val="nil"/>
          <w:right w:val="nil"/>
          <w:between w:val="nil"/>
        </w:pBdr>
        <w:tabs>
          <w:tab w:val="left" w:pos="360"/>
          <w:tab w:val="left" w:pos="432"/>
          <w:tab w:val="left" w:pos="2430"/>
        </w:tabs>
        <w:spacing w:after="120" w:line="360" w:lineRule="auto"/>
        <w:jc w:val="both"/>
        <w:rPr>
          <w:rFonts w:ascii="Arial" w:eastAsia="Arial" w:hAnsi="Arial" w:cs="Arial"/>
          <w:color w:val="010000"/>
          <w:sz w:val="20"/>
          <w:szCs w:val="20"/>
        </w:rPr>
      </w:pPr>
      <w:r>
        <w:rPr>
          <w:rFonts w:ascii="Arial" w:hAnsi="Arial"/>
          <w:color w:val="010000"/>
          <w:sz w:val="20"/>
        </w:rPr>
        <w:t>The total amount of remuneration, salary, bonuses and other benefits for the Board of Directors, the Supervisory Board in 2023 is VND 3,466,896,869 In which:</w:t>
      </w:r>
    </w:p>
    <w:p w14:paraId="3A479AE9" w14:textId="77777777" w:rsidR="00B42DE2" w:rsidRPr="00AC44A0" w:rsidRDefault="0011622E" w:rsidP="00E5593C">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Board of Directors: VND 2,930,769,944</w:t>
      </w:r>
    </w:p>
    <w:p w14:paraId="680EA52C" w14:textId="77777777" w:rsidR="00B42DE2" w:rsidRPr="00AC44A0" w:rsidRDefault="0011622E" w:rsidP="00E5593C">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Supervisory Board: VND 536,126,925</w:t>
      </w:r>
    </w:p>
    <w:p w14:paraId="14E38299" w14:textId="77777777" w:rsidR="00B42DE2" w:rsidRPr="00AC44A0" w:rsidRDefault="0011622E" w:rsidP="00E5593C">
      <w:pPr>
        <w:numPr>
          <w:ilvl w:val="1"/>
          <w:numId w:val="11"/>
        </w:numPr>
        <w:pBdr>
          <w:top w:val="nil"/>
          <w:left w:val="nil"/>
          <w:bottom w:val="nil"/>
          <w:right w:val="nil"/>
          <w:between w:val="nil"/>
        </w:pBdr>
        <w:tabs>
          <w:tab w:val="left" w:pos="360"/>
          <w:tab w:val="left" w:pos="432"/>
          <w:tab w:val="left" w:pos="2434"/>
        </w:tabs>
        <w:spacing w:after="120" w:line="360" w:lineRule="auto"/>
        <w:jc w:val="both"/>
        <w:rPr>
          <w:rFonts w:ascii="Arial" w:eastAsia="Arial" w:hAnsi="Arial" w:cs="Arial"/>
          <w:color w:val="010000"/>
          <w:sz w:val="20"/>
          <w:szCs w:val="20"/>
        </w:rPr>
      </w:pPr>
      <w:r>
        <w:rPr>
          <w:rFonts w:ascii="Arial" w:hAnsi="Arial"/>
          <w:color w:val="010000"/>
          <w:sz w:val="20"/>
        </w:rPr>
        <w:t>The plan for the total amount of remuneration, salary, bonuses and other benefits for the Board of Directors and the Supervisory Board in 2024 is VND 1,682,000,000 (excluding salaries and other benefits of members of the Board of Directors and Supervisory Board for their participation in other positions), in which:</w:t>
      </w:r>
    </w:p>
    <w:p w14:paraId="7715D37D" w14:textId="77777777" w:rsidR="00B42DE2" w:rsidRPr="00AC44A0" w:rsidRDefault="0011622E" w:rsidP="00E5593C">
      <w:pPr>
        <w:numPr>
          <w:ilvl w:val="0"/>
          <w:numId w:val="8"/>
        </w:numPr>
        <w:pBdr>
          <w:top w:val="nil"/>
          <w:left w:val="nil"/>
          <w:bottom w:val="nil"/>
          <w:right w:val="nil"/>
          <w:between w:val="nil"/>
        </w:pBdr>
        <w:tabs>
          <w:tab w:val="left" w:pos="360"/>
          <w:tab w:val="left" w:pos="432"/>
          <w:tab w:val="left" w:pos="2098"/>
        </w:tabs>
        <w:spacing w:after="120" w:line="360" w:lineRule="auto"/>
        <w:jc w:val="both"/>
        <w:rPr>
          <w:rFonts w:ascii="Arial" w:eastAsia="Arial" w:hAnsi="Arial" w:cs="Arial"/>
          <w:color w:val="010000"/>
          <w:sz w:val="20"/>
          <w:szCs w:val="20"/>
        </w:rPr>
      </w:pPr>
      <w:r>
        <w:rPr>
          <w:rFonts w:ascii="Arial" w:hAnsi="Arial"/>
          <w:color w:val="010000"/>
          <w:sz w:val="20"/>
        </w:rPr>
        <w:t>Total Remuneration, salary, bonus of the Board of Directors is: VND 1,270,000,000.</w:t>
      </w:r>
    </w:p>
    <w:p w14:paraId="1B5F4D2F" w14:textId="77777777" w:rsidR="00B42DE2" w:rsidRPr="00AC44A0" w:rsidRDefault="0011622E" w:rsidP="00E5593C">
      <w:pPr>
        <w:numPr>
          <w:ilvl w:val="0"/>
          <w:numId w:val="8"/>
        </w:numPr>
        <w:pBdr>
          <w:top w:val="nil"/>
          <w:left w:val="nil"/>
          <w:bottom w:val="nil"/>
          <w:right w:val="nil"/>
          <w:between w:val="nil"/>
        </w:pBdr>
        <w:tabs>
          <w:tab w:val="left" w:pos="360"/>
          <w:tab w:val="left" w:pos="432"/>
          <w:tab w:val="left" w:pos="2118"/>
        </w:tabs>
        <w:spacing w:after="120" w:line="360" w:lineRule="auto"/>
        <w:jc w:val="both"/>
        <w:rPr>
          <w:rFonts w:ascii="Arial" w:eastAsia="Arial" w:hAnsi="Arial" w:cs="Arial"/>
          <w:color w:val="010000"/>
          <w:sz w:val="20"/>
          <w:szCs w:val="20"/>
        </w:rPr>
      </w:pPr>
      <w:r>
        <w:rPr>
          <w:rFonts w:ascii="Arial" w:hAnsi="Arial"/>
          <w:color w:val="010000"/>
          <w:sz w:val="20"/>
        </w:rPr>
        <w:t>Total Remuneration, salary, bonus of the Supervisory Board: VND 412,000,000.</w:t>
      </w:r>
    </w:p>
    <w:p w14:paraId="3220D7C5" w14:textId="77777777"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The remuneration, bonus for each member shall be decided by the Board of Directors of the Company on the principle of consensus.</w:t>
      </w:r>
    </w:p>
    <w:p w14:paraId="31027649" w14:textId="77777777" w:rsidR="00B42DE2" w:rsidRPr="00AC44A0" w:rsidRDefault="0011622E" w:rsidP="00E5593C">
      <w:pPr>
        <w:numPr>
          <w:ilvl w:val="0"/>
          <w:numId w:val="8"/>
        </w:numPr>
        <w:pBdr>
          <w:top w:val="nil"/>
          <w:left w:val="nil"/>
          <w:bottom w:val="nil"/>
          <w:right w:val="nil"/>
          <w:between w:val="nil"/>
        </w:pBdr>
        <w:tabs>
          <w:tab w:val="left" w:pos="360"/>
          <w:tab w:val="left" w:pos="432"/>
          <w:tab w:val="left" w:pos="2113"/>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and Supervisory Board are reimbursed for meals, accommodation, travel and other reasonable expenses when implementing assigned tasks according to actual costs incurred.</w:t>
      </w:r>
    </w:p>
    <w:p w14:paraId="4680A091"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794"/>
        </w:tabs>
        <w:spacing w:after="120" w:line="360" w:lineRule="auto"/>
        <w:ind w:left="0"/>
        <w:jc w:val="both"/>
        <w:rPr>
          <w:rFonts w:ascii="Arial" w:eastAsia="Arial" w:hAnsi="Arial" w:cs="Arial"/>
          <w:color w:val="010000"/>
          <w:sz w:val="20"/>
          <w:szCs w:val="20"/>
        </w:rPr>
      </w:pPr>
      <w:r>
        <w:rPr>
          <w:rFonts w:ascii="Arial" w:hAnsi="Arial"/>
          <w:color w:val="010000"/>
          <w:sz w:val="20"/>
        </w:rPr>
        <w:t>Approve the selection of an audit company for the Financial Statements 2024 as follows:</w:t>
      </w:r>
    </w:p>
    <w:p w14:paraId="4F9CB08B" w14:textId="77777777" w:rsidR="00B42DE2" w:rsidRPr="00AC44A0" w:rsidRDefault="0011622E" w:rsidP="00E5593C">
      <w:pPr>
        <w:numPr>
          <w:ilvl w:val="1"/>
          <w:numId w:val="11"/>
        </w:numPr>
        <w:pBdr>
          <w:top w:val="nil"/>
          <w:left w:val="nil"/>
          <w:bottom w:val="nil"/>
          <w:right w:val="nil"/>
          <w:between w:val="nil"/>
        </w:pBdr>
        <w:tabs>
          <w:tab w:val="left" w:pos="360"/>
          <w:tab w:val="left" w:pos="432"/>
          <w:tab w:val="left" w:pos="2409"/>
        </w:tabs>
        <w:spacing w:after="120" w:line="360" w:lineRule="auto"/>
        <w:jc w:val="both"/>
        <w:rPr>
          <w:rFonts w:ascii="Arial" w:eastAsia="Arial" w:hAnsi="Arial" w:cs="Arial"/>
          <w:color w:val="010000"/>
          <w:sz w:val="20"/>
          <w:szCs w:val="20"/>
        </w:rPr>
      </w:pPr>
      <w:r>
        <w:rPr>
          <w:rFonts w:ascii="Arial" w:hAnsi="Arial"/>
          <w:color w:val="010000"/>
          <w:sz w:val="20"/>
        </w:rPr>
        <w:t>List of Audit Company</w:t>
      </w:r>
    </w:p>
    <w:p w14:paraId="492DA47B" w14:textId="77777777" w:rsidR="00B42DE2" w:rsidRPr="00AC44A0" w:rsidRDefault="0011622E" w:rsidP="00E5593C">
      <w:pPr>
        <w:numPr>
          <w:ilvl w:val="0"/>
          <w:numId w:val="9"/>
        </w:numPr>
        <w:pBdr>
          <w:top w:val="nil"/>
          <w:left w:val="nil"/>
          <w:bottom w:val="nil"/>
          <w:right w:val="nil"/>
          <w:between w:val="nil"/>
        </w:pBdr>
        <w:tabs>
          <w:tab w:val="left" w:pos="360"/>
          <w:tab w:val="left" w:pos="432"/>
          <w:tab w:val="left" w:pos="2092"/>
        </w:tabs>
        <w:spacing w:after="120" w:line="360" w:lineRule="auto"/>
        <w:jc w:val="both"/>
        <w:rPr>
          <w:rFonts w:ascii="Arial" w:eastAsia="Arial" w:hAnsi="Arial" w:cs="Arial"/>
          <w:color w:val="010000"/>
          <w:sz w:val="20"/>
          <w:szCs w:val="20"/>
        </w:rPr>
      </w:pPr>
      <w:r>
        <w:rPr>
          <w:rFonts w:ascii="Arial" w:hAnsi="Arial"/>
          <w:color w:val="010000"/>
          <w:sz w:val="20"/>
        </w:rPr>
        <w:t>CPA Vietnam Auditing Company Limited (securities code: 0101917917)</w:t>
      </w:r>
    </w:p>
    <w:p w14:paraId="770BD04E" w14:textId="77777777"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Address: 8th Floor, VG Building Office Tower, No. 235 Nguyen Trai Street, Thanh Xuan </w:t>
      </w:r>
      <w:proofErr w:type="spellStart"/>
      <w:r>
        <w:rPr>
          <w:rFonts w:ascii="Arial" w:hAnsi="Arial"/>
          <w:color w:val="010000"/>
          <w:sz w:val="20"/>
        </w:rPr>
        <w:t>Trung</w:t>
      </w:r>
      <w:proofErr w:type="spellEnd"/>
      <w:r>
        <w:rPr>
          <w:rFonts w:ascii="Arial" w:hAnsi="Arial"/>
          <w:color w:val="010000"/>
          <w:sz w:val="20"/>
        </w:rPr>
        <w:t xml:space="preserve"> Ward, Thanh Xuan District, Hanoi City</w:t>
      </w:r>
    </w:p>
    <w:p w14:paraId="1B43476F" w14:textId="77777777" w:rsidR="00B42DE2" w:rsidRPr="00AC44A0" w:rsidRDefault="0011622E" w:rsidP="00E5593C">
      <w:pPr>
        <w:numPr>
          <w:ilvl w:val="0"/>
          <w:numId w:val="9"/>
        </w:numPr>
        <w:pBdr>
          <w:top w:val="nil"/>
          <w:left w:val="nil"/>
          <w:bottom w:val="nil"/>
          <w:right w:val="nil"/>
          <w:between w:val="nil"/>
        </w:pBdr>
        <w:tabs>
          <w:tab w:val="left" w:pos="360"/>
          <w:tab w:val="left" w:pos="432"/>
          <w:tab w:val="left" w:pos="2092"/>
        </w:tabs>
        <w:spacing w:after="120" w:line="360" w:lineRule="auto"/>
        <w:jc w:val="both"/>
        <w:rPr>
          <w:rFonts w:ascii="Arial" w:eastAsia="Arial" w:hAnsi="Arial" w:cs="Arial"/>
          <w:color w:val="010000"/>
          <w:sz w:val="20"/>
          <w:szCs w:val="20"/>
        </w:rPr>
      </w:pPr>
      <w:r>
        <w:rPr>
          <w:rFonts w:ascii="Arial" w:hAnsi="Arial"/>
          <w:color w:val="010000"/>
          <w:sz w:val="20"/>
        </w:rPr>
        <w:t>PWC (Vietnam) Limited (securities code: 0100157406)</w:t>
      </w:r>
    </w:p>
    <w:p w14:paraId="7F1833FA" w14:textId="0E8B2374"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Address: No. 29 Le </w:t>
      </w:r>
      <w:proofErr w:type="spellStart"/>
      <w:r>
        <w:rPr>
          <w:rFonts w:ascii="Arial" w:hAnsi="Arial"/>
          <w:color w:val="010000"/>
          <w:sz w:val="20"/>
        </w:rPr>
        <w:t>Duan</w:t>
      </w:r>
      <w:proofErr w:type="spellEnd"/>
      <w:r>
        <w:rPr>
          <w:rFonts w:ascii="Arial" w:hAnsi="Arial"/>
          <w:color w:val="010000"/>
          <w:sz w:val="20"/>
        </w:rPr>
        <w:t xml:space="preserve"> </w:t>
      </w:r>
      <w:r w:rsidR="00E5593C">
        <w:rPr>
          <w:rFonts w:ascii="Arial" w:hAnsi="Arial"/>
          <w:color w:val="010000"/>
          <w:sz w:val="20"/>
        </w:rPr>
        <w:t>Road</w:t>
      </w:r>
      <w:r>
        <w:rPr>
          <w:rFonts w:ascii="Arial" w:hAnsi="Arial"/>
          <w:color w:val="010000"/>
          <w:sz w:val="20"/>
        </w:rPr>
        <w:t xml:space="preserve">, Ben </w:t>
      </w:r>
      <w:proofErr w:type="spellStart"/>
      <w:r>
        <w:rPr>
          <w:rFonts w:ascii="Arial" w:hAnsi="Arial"/>
          <w:color w:val="010000"/>
          <w:sz w:val="20"/>
        </w:rPr>
        <w:t>Nghe</w:t>
      </w:r>
      <w:proofErr w:type="spellEnd"/>
      <w:r>
        <w:rPr>
          <w:rFonts w:ascii="Arial" w:hAnsi="Arial"/>
          <w:color w:val="010000"/>
          <w:sz w:val="20"/>
        </w:rPr>
        <w:t xml:space="preserve"> Ward, District 1, Ho Chi Minh City.</w:t>
      </w:r>
    </w:p>
    <w:p w14:paraId="5E8F0909" w14:textId="3BA7C804" w:rsidR="00B42DE2" w:rsidRPr="00AC44A0" w:rsidRDefault="0011622E" w:rsidP="00E5593C">
      <w:pPr>
        <w:numPr>
          <w:ilvl w:val="0"/>
          <w:numId w:val="9"/>
        </w:numPr>
        <w:pBdr>
          <w:top w:val="nil"/>
          <w:left w:val="nil"/>
          <w:bottom w:val="nil"/>
          <w:right w:val="nil"/>
          <w:between w:val="nil"/>
        </w:pBdr>
        <w:tabs>
          <w:tab w:val="left" w:pos="360"/>
          <w:tab w:val="left" w:pos="432"/>
          <w:tab w:val="left" w:pos="2092"/>
        </w:tabs>
        <w:spacing w:after="120" w:line="360" w:lineRule="auto"/>
        <w:jc w:val="both"/>
        <w:rPr>
          <w:rFonts w:ascii="Arial" w:eastAsia="Arial" w:hAnsi="Arial" w:cs="Arial"/>
          <w:color w:val="010000"/>
          <w:sz w:val="20"/>
          <w:szCs w:val="20"/>
        </w:rPr>
      </w:pPr>
      <w:r>
        <w:rPr>
          <w:rFonts w:ascii="Arial" w:hAnsi="Arial"/>
          <w:color w:val="010000"/>
          <w:sz w:val="20"/>
        </w:rPr>
        <w:t>Vietnam Ernst &amp; Young Limited Company (securities code: 0300811802)</w:t>
      </w:r>
    </w:p>
    <w:p w14:paraId="305A8AFE" w14:textId="77777777"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Address: No. 2 Hai Trieu Street, Ben Nghe Ward, District 1, Ho Chi Minh City.</w:t>
      </w:r>
    </w:p>
    <w:p w14:paraId="1C92FB42" w14:textId="77777777" w:rsidR="00B42DE2" w:rsidRPr="00AC44A0" w:rsidRDefault="0011622E" w:rsidP="00E5593C">
      <w:pPr>
        <w:numPr>
          <w:ilvl w:val="0"/>
          <w:numId w:val="9"/>
        </w:numPr>
        <w:pBdr>
          <w:top w:val="nil"/>
          <w:left w:val="nil"/>
          <w:bottom w:val="nil"/>
          <w:right w:val="nil"/>
          <w:between w:val="nil"/>
        </w:pBdr>
        <w:tabs>
          <w:tab w:val="left" w:pos="360"/>
          <w:tab w:val="left" w:pos="432"/>
          <w:tab w:val="left" w:pos="2092"/>
        </w:tabs>
        <w:spacing w:after="120" w:line="360" w:lineRule="auto"/>
        <w:jc w:val="both"/>
        <w:rPr>
          <w:rFonts w:ascii="Arial" w:eastAsia="Arial" w:hAnsi="Arial" w:cs="Arial"/>
          <w:color w:val="010000"/>
          <w:sz w:val="20"/>
          <w:szCs w:val="20"/>
        </w:rPr>
      </w:pPr>
      <w:r>
        <w:rPr>
          <w:rFonts w:ascii="Arial" w:hAnsi="Arial"/>
          <w:color w:val="010000"/>
          <w:sz w:val="20"/>
        </w:rPr>
        <w:t>KPMG Limited Company (securities code: 0100112042)</w:t>
      </w:r>
    </w:p>
    <w:p w14:paraId="4DBDC34E" w14:textId="6DA51634" w:rsidR="00B42DE2" w:rsidRPr="00AC44A0" w:rsidRDefault="00E5593C"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Address: 46th F</w:t>
      </w:r>
      <w:r w:rsidR="0011622E">
        <w:rPr>
          <w:rFonts w:ascii="Arial" w:hAnsi="Arial"/>
          <w:color w:val="010000"/>
          <w:sz w:val="20"/>
        </w:rPr>
        <w:t xml:space="preserve">loor, </w:t>
      </w:r>
      <w:proofErr w:type="spellStart"/>
      <w:r w:rsidR="0011622E">
        <w:rPr>
          <w:rFonts w:ascii="Arial" w:hAnsi="Arial"/>
          <w:color w:val="010000"/>
          <w:sz w:val="20"/>
        </w:rPr>
        <w:t>Keangnam</w:t>
      </w:r>
      <w:proofErr w:type="spellEnd"/>
      <w:r w:rsidR="0011622E">
        <w:rPr>
          <w:rFonts w:ascii="Arial" w:hAnsi="Arial"/>
          <w:color w:val="010000"/>
          <w:sz w:val="20"/>
        </w:rPr>
        <w:t xml:space="preserve"> Tower, Hanoi Landmark Tower, 72 Floor Building, Lot E6, Pham Hung Street, </w:t>
      </w:r>
      <w:proofErr w:type="spellStart"/>
      <w:r w:rsidR="0011622E">
        <w:rPr>
          <w:rFonts w:ascii="Arial" w:hAnsi="Arial"/>
          <w:color w:val="010000"/>
          <w:sz w:val="20"/>
        </w:rPr>
        <w:t>Cau</w:t>
      </w:r>
      <w:proofErr w:type="spellEnd"/>
      <w:r w:rsidR="0011622E">
        <w:rPr>
          <w:rFonts w:ascii="Arial" w:hAnsi="Arial"/>
          <w:color w:val="010000"/>
          <w:sz w:val="20"/>
        </w:rPr>
        <w:t xml:space="preserve"> </w:t>
      </w:r>
      <w:proofErr w:type="spellStart"/>
      <w:r w:rsidR="0011622E">
        <w:rPr>
          <w:rFonts w:ascii="Arial" w:hAnsi="Arial"/>
          <w:color w:val="010000"/>
          <w:sz w:val="20"/>
        </w:rPr>
        <w:t>Giay</w:t>
      </w:r>
      <w:proofErr w:type="spellEnd"/>
      <w:r w:rsidR="0011622E">
        <w:rPr>
          <w:rFonts w:ascii="Arial" w:hAnsi="Arial"/>
          <w:color w:val="010000"/>
          <w:sz w:val="20"/>
        </w:rPr>
        <w:t xml:space="preserve"> New Urban Area, Me Tri Ward, Nam </w:t>
      </w:r>
      <w:proofErr w:type="spellStart"/>
      <w:r w:rsidR="0011622E">
        <w:rPr>
          <w:rFonts w:ascii="Arial" w:hAnsi="Arial"/>
          <w:color w:val="010000"/>
          <w:sz w:val="20"/>
        </w:rPr>
        <w:t>Tu</w:t>
      </w:r>
      <w:proofErr w:type="spellEnd"/>
      <w:r w:rsidR="0011622E">
        <w:rPr>
          <w:rFonts w:ascii="Arial" w:hAnsi="Arial"/>
          <w:color w:val="010000"/>
          <w:sz w:val="20"/>
        </w:rPr>
        <w:t xml:space="preserve"> </w:t>
      </w:r>
      <w:proofErr w:type="spellStart"/>
      <w:r w:rsidR="0011622E">
        <w:rPr>
          <w:rFonts w:ascii="Arial" w:hAnsi="Arial"/>
          <w:color w:val="010000"/>
          <w:sz w:val="20"/>
        </w:rPr>
        <w:t>Liem</w:t>
      </w:r>
      <w:proofErr w:type="spellEnd"/>
      <w:r w:rsidR="0011622E">
        <w:rPr>
          <w:rFonts w:ascii="Arial" w:hAnsi="Arial"/>
          <w:color w:val="010000"/>
          <w:sz w:val="20"/>
        </w:rPr>
        <w:t xml:space="preserve"> District, Hanoi City.</w:t>
      </w:r>
    </w:p>
    <w:p w14:paraId="03FA6740" w14:textId="77777777" w:rsidR="00B42DE2" w:rsidRPr="00AC44A0" w:rsidRDefault="0011622E" w:rsidP="00E5593C">
      <w:pPr>
        <w:numPr>
          <w:ilvl w:val="0"/>
          <w:numId w:val="9"/>
        </w:numPr>
        <w:pBdr>
          <w:top w:val="nil"/>
          <w:left w:val="nil"/>
          <w:bottom w:val="nil"/>
          <w:right w:val="nil"/>
          <w:between w:val="nil"/>
        </w:pBdr>
        <w:tabs>
          <w:tab w:val="left" w:pos="360"/>
          <w:tab w:val="left" w:pos="432"/>
          <w:tab w:val="left" w:pos="2092"/>
        </w:tabs>
        <w:spacing w:after="120" w:line="360" w:lineRule="auto"/>
        <w:jc w:val="both"/>
        <w:rPr>
          <w:rFonts w:ascii="Arial" w:eastAsia="Arial" w:hAnsi="Arial" w:cs="Arial"/>
          <w:color w:val="010000"/>
          <w:sz w:val="20"/>
          <w:szCs w:val="20"/>
        </w:rPr>
      </w:pPr>
      <w:r>
        <w:rPr>
          <w:rFonts w:ascii="Arial" w:hAnsi="Arial"/>
          <w:color w:val="010000"/>
          <w:sz w:val="20"/>
        </w:rPr>
        <w:t>Deloitte Vietnam Audit Company Limited (securities code: 0100112500)</w:t>
      </w:r>
    </w:p>
    <w:p w14:paraId="3857A28B" w14:textId="77777777"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Address: Floor 15, </w:t>
      </w:r>
      <w:proofErr w:type="spellStart"/>
      <w:r>
        <w:rPr>
          <w:rFonts w:ascii="Arial" w:hAnsi="Arial"/>
          <w:color w:val="010000"/>
          <w:sz w:val="20"/>
        </w:rPr>
        <w:t>Vinaconex</w:t>
      </w:r>
      <w:proofErr w:type="spellEnd"/>
      <w:r>
        <w:rPr>
          <w:rFonts w:ascii="Arial" w:hAnsi="Arial"/>
          <w:color w:val="010000"/>
          <w:sz w:val="20"/>
        </w:rPr>
        <w:t xml:space="preserve"> Building, 34 Lang Ha Street, Lang Ha Ward, Dong Da District, Hanoi City</w:t>
      </w:r>
    </w:p>
    <w:p w14:paraId="1503935A" w14:textId="77777777" w:rsidR="00B42DE2" w:rsidRPr="00AC44A0" w:rsidRDefault="0011622E" w:rsidP="00E5593C">
      <w:pPr>
        <w:numPr>
          <w:ilvl w:val="0"/>
          <w:numId w:val="9"/>
        </w:numPr>
        <w:pBdr>
          <w:top w:val="nil"/>
          <w:left w:val="nil"/>
          <w:bottom w:val="nil"/>
          <w:right w:val="nil"/>
          <w:between w:val="nil"/>
        </w:pBdr>
        <w:tabs>
          <w:tab w:val="left" w:pos="360"/>
          <w:tab w:val="left" w:pos="432"/>
          <w:tab w:val="left" w:pos="2092"/>
        </w:tabs>
        <w:spacing w:after="120" w:line="360" w:lineRule="auto"/>
        <w:jc w:val="both"/>
        <w:rPr>
          <w:rFonts w:ascii="Arial" w:eastAsia="Arial" w:hAnsi="Arial" w:cs="Arial"/>
          <w:color w:val="010000"/>
          <w:sz w:val="20"/>
          <w:szCs w:val="20"/>
        </w:rPr>
      </w:pPr>
      <w:r>
        <w:rPr>
          <w:rFonts w:ascii="Arial" w:hAnsi="Arial"/>
          <w:color w:val="010000"/>
          <w:sz w:val="20"/>
        </w:rPr>
        <w:t>DN Auditing and Consulting Company Limited (securities code: 0300449815)</w:t>
      </w:r>
    </w:p>
    <w:p w14:paraId="4538A9E7" w14:textId="04E441DB"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Address: No. 02, Truong Son </w:t>
      </w:r>
      <w:r w:rsidR="00E5593C">
        <w:rPr>
          <w:rFonts w:ascii="Arial" w:hAnsi="Arial"/>
          <w:color w:val="010000"/>
          <w:sz w:val="20"/>
        </w:rPr>
        <w:t>Road</w:t>
      </w:r>
      <w:r>
        <w:rPr>
          <w:rFonts w:ascii="Arial" w:hAnsi="Arial"/>
          <w:color w:val="010000"/>
          <w:sz w:val="20"/>
        </w:rPr>
        <w:t xml:space="preserve">, Ward 2, Tan </w:t>
      </w:r>
      <w:proofErr w:type="spellStart"/>
      <w:r>
        <w:rPr>
          <w:rFonts w:ascii="Arial" w:hAnsi="Arial"/>
          <w:color w:val="010000"/>
          <w:sz w:val="20"/>
        </w:rPr>
        <w:t>Binh</w:t>
      </w:r>
      <w:proofErr w:type="spellEnd"/>
      <w:r>
        <w:rPr>
          <w:rFonts w:ascii="Arial" w:hAnsi="Arial"/>
          <w:color w:val="010000"/>
          <w:sz w:val="20"/>
        </w:rPr>
        <w:t xml:space="preserve"> District, Ho Chi Minh City.</w:t>
      </w:r>
    </w:p>
    <w:p w14:paraId="29DAE454" w14:textId="43BF288E" w:rsidR="00B42DE2" w:rsidRPr="00AC44A0" w:rsidRDefault="0011622E" w:rsidP="00E5593C">
      <w:pPr>
        <w:numPr>
          <w:ilvl w:val="1"/>
          <w:numId w:val="11"/>
        </w:numPr>
        <w:pBdr>
          <w:top w:val="nil"/>
          <w:left w:val="nil"/>
          <w:bottom w:val="nil"/>
          <w:right w:val="nil"/>
          <w:between w:val="nil"/>
        </w:pBdr>
        <w:tabs>
          <w:tab w:val="left" w:pos="360"/>
          <w:tab w:val="left" w:pos="432"/>
          <w:tab w:val="left" w:pos="2435"/>
        </w:tabs>
        <w:spacing w:after="120" w:line="360" w:lineRule="auto"/>
        <w:jc w:val="both"/>
        <w:rPr>
          <w:rFonts w:ascii="Arial" w:eastAsia="Arial" w:hAnsi="Arial" w:cs="Arial"/>
          <w:color w:val="010000"/>
          <w:sz w:val="20"/>
          <w:szCs w:val="20"/>
        </w:rPr>
      </w:pPr>
      <w:r>
        <w:rPr>
          <w:rFonts w:ascii="Arial" w:hAnsi="Arial"/>
          <w:color w:val="010000"/>
          <w:sz w:val="20"/>
        </w:rPr>
        <w:t>The General Meeting authorizes the Board of Directors to decide on the selection of an audit company from the above list to implement the audit and assign the Manager of company to sign a contract with the selected audit company.</w:t>
      </w:r>
    </w:p>
    <w:p w14:paraId="4D762316"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248"/>
        </w:tabs>
        <w:spacing w:after="120" w:line="360" w:lineRule="auto"/>
        <w:ind w:left="0"/>
        <w:jc w:val="both"/>
        <w:rPr>
          <w:rFonts w:ascii="Arial" w:eastAsia="Arial" w:hAnsi="Arial" w:cs="Arial"/>
          <w:color w:val="010000"/>
          <w:sz w:val="20"/>
          <w:szCs w:val="20"/>
        </w:rPr>
      </w:pPr>
      <w:r>
        <w:rPr>
          <w:rFonts w:ascii="Arial" w:hAnsi="Arial"/>
          <w:color w:val="010000"/>
          <w:sz w:val="20"/>
        </w:rPr>
        <w:t>Approve the investment policy of Thuy Duong Hotel Complex Project, authorize and assign the Board of Directors of the Company to organize and implement and decide on related tasks: Establish, examine, assessment, and approve project; Implement the Project to ensure compliance with legal regulations and effectively; Report results at the Company's Shareholders' Meetings.</w:t>
      </w:r>
    </w:p>
    <w:p w14:paraId="482CE227"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224"/>
        </w:tabs>
        <w:spacing w:after="120" w:line="360" w:lineRule="auto"/>
        <w:ind w:left="0"/>
        <w:jc w:val="both"/>
        <w:rPr>
          <w:rFonts w:ascii="Arial" w:eastAsia="Arial" w:hAnsi="Arial" w:cs="Arial"/>
          <w:color w:val="010000"/>
          <w:sz w:val="20"/>
          <w:szCs w:val="20"/>
        </w:rPr>
      </w:pPr>
      <w:r>
        <w:rPr>
          <w:rFonts w:ascii="Arial" w:hAnsi="Arial"/>
          <w:color w:val="010000"/>
          <w:sz w:val="20"/>
        </w:rPr>
        <w:t>Approve the reappointment of Mr. Le Thanh Tung - Master of Business Administration, to the following position: Manager of IDICO Investment Construction Oil and Natural Gas JSC</w:t>
      </w:r>
    </w:p>
    <w:p w14:paraId="7CECBFDD" w14:textId="43DEF890"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has convened and decided to reappoint Mr. Le Thanh Tung to the following position: The Manager of IDICO Investment Constr</w:t>
      </w:r>
      <w:r w:rsidR="00DA3459">
        <w:rPr>
          <w:rFonts w:ascii="Arial" w:hAnsi="Arial"/>
          <w:color w:val="010000"/>
          <w:sz w:val="20"/>
        </w:rPr>
        <w:t xml:space="preserve">uction Oil and Natural Gas JSC </w:t>
      </w:r>
      <w:r>
        <w:rPr>
          <w:rFonts w:ascii="Arial" w:hAnsi="Arial"/>
          <w:color w:val="010000"/>
          <w:sz w:val="20"/>
        </w:rPr>
        <w:t>for a term commencing on June 1, 2024, and extending until the end of the Board of Directors' term in 2027.</w:t>
      </w:r>
    </w:p>
    <w:p w14:paraId="21898F5A"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378"/>
        </w:tabs>
        <w:spacing w:after="120" w:line="360" w:lineRule="auto"/>
        <w:ind w:left="0"/>
        <w:jc w:val="both"/>
        <w:rPr>
          <w:rFonts w:ascii="Arial" w:eastAsia="Arial" w:hAnsi="Arial" w:cs="Arial"/>
          <w:color w:val="010000"/>
          <w:sz w:val="20"/>
          <w:szCs w:val="20"/>
        </w:rPr>
      </w:pPr>
      <w:r>
        <w:rPr>
          <w:rFonts w:ascii="Arial" w:hAnsi="Arial"/>
          <w:color w:val="010000"/>
          <w:sz w:val="20"/>
        </w:rPr>
        <w:t>Approve the dismissal of the Members of the Supervisory Board of the Company in 2022-2027 term for Mr. Nguyen Hoang Nam</w:t>
      </w:r>
    </w:p>
    <w:p w14:paraId="354D3228" w14:textId="77777777" w:rsidR="00B42DE2" w:rsidRPr="00AC44A0" w:rsidRDefault="0011622E" w:rsidP="00E5593C">
      <w:pPr>
        <w:numPr>
          <w:ilvl w:val="0"/>
          <w:numId w:val="11"/>
        </w:numPr>
        <w:pBdr>
          <w:top w:val="nil"/>
          <w:left w:val="nil"/>
          <w:bottom w:val="nil"/>
          <w:right w:val="nil"/>
          <w:between w:val="nil"/>
        </w:pBdr>
        <w:tabs>
          <w:tab w:val="left" w:pos="360"/>
          <w:tab w:val="left" w:pos="432"/>
          <w:tab w:val="left" w:pos="2392"/>
        </w:tabs>
        <w:spacing w:after="120" w:line="360" w:lineRule="auto"/>
        <w:ind w:left="0"/>
        <w:jc w:val="both"/>
        <w:rPr>
          <w:rFonts w:ascii="Arial" w:eastAsia="Arial" w:hAnsi="Arial" w:cs="Arial"/>
          <w:color w:val="010000"/>
          <w:sz w:val="20"/>
          <w:szCs w:val="20"/>
        </w:rPr>
      </w:pPr>
      <w:r>
        <w:rPr>
          <w:rFonts w:ascii="Arial" w:hAnsi="Arial"/>
          <w:color w:val="010000"/>
          <w:sz w:val="20"/>
        </w:rPr>
        <w:t>Approve the election results of additional members of the Company’s Supervisory Board for the term 2022-2027.</w:t>
      </w:r>
    </w:p>
    <w:p w14:paraId="6D8A06CA" w14:textId="77777777"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Supervisory Board held the first meeting to elect Mr. Nguyen Hoang Hai to hold the position of Chief of the Supervisory Board of the Company for the term 2022- 2027.</w:t>
      </w:r>
    </w:p>
    <w:p w14:paraId="6333608D" w14:textId="77777777"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Terms of enforcement</w:t>
      </w:r>
    </w:p>
    <w:p w14:paraId="450BF416" w14:textId="5BF28374"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This </w:t>
      </w:r>
      <w:r w:rsidR="006B038F">
        <w:rPr>
          <w:rFonts w:ascii="Arial" w:hAnsi="Arial"/>
          <w:color w:val="010000"/>
          <w:sz w:val="20"/>
        </w:rPr>
        <w:t xml:space="preserve">full-text </w:t>
      </w:r>
      <w:r>
        <w:rPr>
          <w:rFonts w:ascii="Arial" w:hAnsi="Arial"/>
          <w:color w:val="010000"/>
          <w:sz w:val="20"/>
        </w:rPr>
        <w:t>General Mandate was approved by the General Meeting at the meeting and takes effect from April 24, 2024.</w:t>
      </w:r>
    </w:p>
    <w:p w14:paraId="769FDB49" w14:textId="4F14156D" w:rsidR="00B42DE2" w:rsidRPr="00AC44A0" w:rsidRDefault="0011622E" w:rsidP="00E5593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Member</w:t>
      </w:r>
      <w:r w:rsidR="00DA3459">
        <w:rPr>
          <w:rFonts w:ascii="Arial" w:hAnsi="Arial"/>
          <w:color w:val="010000"/>
          <w:sz w:val="20"/>
        </w:rPr>
        <w:t>s of the Board of Directors, Supervisory Board and</w:t>
      </w:r>
      <w:r>
        <w:rPr>
          <w:rFonts w:ascii="Arial" w:hAnsi="Arial"/>
          <w:color w:val="010000"/>
          <w:sz w:val="20"/>
        </w:rPr>
        <w:t xml:space="preserve"> Executive Board of IDICO Investment Construction Oil and Natural Gas JSC are responsible for developing plans, measures, specif</w:t>
      </w:r>
      <w:r w:rsidR="00DA3459">
        <w:rPr>
          <w:rFonts w:ascii="Arial" w:hAnsi="Arial"/>
          <w:color w:val="010000"/>
          <w:sz w:val="20"/>
        </w:rPr>
        <w:t>ic action programs and direct and</w:t>
      </w:r>
      <w:r>
        <w:rPr>
          <w:rFonts w:ascii="Arial" w:hAnsi="Arial"/>
          <w:color w:val="010000"/>
          <w:sz w:val="20"/>
        </w:rPr>
        <w:t xml:space="preserve"> administer </w:t>
      </w:r>
      <w:bookmarkStart w:id="0" w:name="_GoBack"/>
      <w:bookmarkEnd w:id="0"/>
      <w:r>
        <w:rPr>
          <w:rFonts w:ascii="Arial" w:hAnsi="Arial"/>
          <w:color w:val="010000"/>
          <w:sz w:val="20"/>
        </w:rPr>
        <w:t>the implementation of this General Mandate.</w:t>
      </w:r>
      <w:r>
        <w:rPr>
          <w:rFonts w:ascii="Arial" w:hAnsi="Arial"/>
          <w:color w:val="010000"/>
          <w:sz w:val="20"/>
        </w:rPr>
        <w:br/>
      </w:r>
    </w:p>
    <w:sectPr w:rsidR="00B42DE2" w:rsidRPr="00AC44A0" w:rsidSect="0089798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embedRegular r:id="rId1" w:fontKey="{2771FCD9-8CD6-49FB-BF43-C7661E9925EC}"/>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F552ABCE-071E-4AC0-9972-19A5EAE321CF}"/>
    <w:embedItalic r:id="rId3" w:fontKey="{F3E5F21F-B0E1-48CB-9B6F-1754363D58E4}"/>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embedRegular r:id="rId4" w:fontKey="{143C62A0-7547-48CC-803E-1008B9DDD981}"/>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embedRegular r:id="rId5" w:fontKey="{3ADE713A-5FCA-48B3-84EB-D5423AD54F56}"/>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2EB"/>
    <w:multiLevelType w:val="multilevel"/>
    <w:tmpl w:val="7FF2CF5C"/>
    <w:lvl w:ilvl="0">
      <w:start w:val="1"/>
      <w:numFmt w:val="bullet"/>
      <w:lvlText w:val="-"/>
      <w:lvlJc w:val="left"/>
      <w:pPr>
        <w:ind w:left="720" w:hanging="360"/>
      </w:pPr>
      <w:rPr>
        <w:rFonts w:ascii="Arial" w:eastAsia="Arial" w:hAnsi="Arial" w:cs="Arial"/>
        <w:b w:val="0"/>
        <w:i w:val="0"/>
        <w:sz w:val="20"/>
        <w:u w:val="none"/>
      </w:rPr>
    </w:lvl>
    <w:lvl w:ilvl="1">
      <w:start w:val="1"/>
      <w:numFmt w:val="bullet"/>
      <w:lvlText w:val="o"/>
      <w:lvlJc w:val="left"/>
      <w:pPr>
        <w:ind w:left="1440" w:hanging="360"/>
      </w:pPr>
      <w:rPr>
        <w:rFonts w:ascii="Arial" w:eastAsia="Courier New" w:hAnsi="Arial" w:cs="Arial"/>
        <w:b w:val="0"/>
        <w:i w:val="0"/>
        <w:sz w:val="20"/>
      </w:rPr>
    </w:lvl>
    <w:lvl w:ilvl="2">
      <w:start w:val="1"/>
      <w:numFmt w:val="bullet"/>
      <w:lvlText w:val="▪"/>
      <w:lvlJc w:val="left"/>
      <w:pPr>
        <w:ind w:left="2160" w:hanging="360"/>
      </w:pPr>
      <w:rPr>
        <w:rFonts w:ascii="Arial" w:eastAsia="Noto Sans Symbols" w:hAnsi="Arial" w:cs="Arial"/>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F60EAE"/>
    <w:multiLevelType w:val="multilevel"/>
    <w:tmpl w:val="0DD4C7FE"/>
    <w:lvl w:ilvl="0">
      <w:start w:val="1"/>
      <w:numFmt w:val="bullet"/>
      <w:lvlText w:val="+"/>
      <w:lvlJc w:val="left"/>
      <w:pPr>
        <w:ind w:left="720" w:hanging="360"/>
      </w:pPr>
      <w:rPr>
        <w:rFonts w:ascii="Arial" w:eastAsia="Arial" w:hAnsi="Arial" w:cs="Arial"/>
        <w:b w:val="0"/>
        <w:i w:val="0"/>
        <w:sz w:val="20"/>
        <w:u w:val="none"/>
      </w:rPr>
    </w:lvl>
    <w:lvl w:ilvl="1">
      <w:start w:val="1"/>
      <w:numFmt w:val="bullet"/>
      <w:lvlText w:val="o"/>
      <w:lvlJc w:val="left"/>
      <w:pPr>
        <w:ind w:left="1440" w:hanging="360"/>
      </w:pPr>
      <w:rPr>
        <w:rFonts w:ascii="Arial" w:eastAsia="Courier New" w:hAnsi="Arial" w:cs="Arial"/>
        <w:b w:val="0"/>
        <w:i w:val="0"/>
        <w:sz w:val="20"/>
      </w:rPr>
    </w:lvl>
    <w:lvl w:ilvl="2">
      <w:start w:val="1"/>
      <w:numFmt w:val="bullet"/>
      <w:lvlText w:val="▪"/>
      <w:lvlJc w:val="left"/>
      <w:pPr>
        <w:ind w:left="2160" w:hanging="360"/>
      </w:pPr>
      <w:rPr>
        <w:rFonts w:ascii="Arial" w:eastAsia="Noto Sans Symbols" w:hAnsi="Arial" w:cs="Arial"/>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391F4E"/>
    <w:multiLevelType w:val="multilevel"/>
    <w:tmpl w:val="3F7CD938"/>
    <w:lvl w:ilvl="0">
      <w:start w:val="1"/>
      <w:numFmt w:val="bullet"/>
      <w:lvlText w:val="+"/>
      <w:lvlJc w:val="left"/>
      <w:pPr>
        <w:ind w:left="0" w:firstLine="0"/>
      </w:pPr>
      <w:rPr>
        <w:rFonts w:ascii="Arial" w:eastAsia="Arial" w:hAnsi="Arial" w:cs="Arial"/>
        <w:b w:val="0"/>
        <w:i w:val="0"/>
        <w:smallCaps w:val="0"/>
        <w:strike w:val="0"/>
        <w:color w:val="3334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D363CC9"/>
    <w:multiLevelType w:val="multilevel"/>
    <w:tmpl w:val="3432D5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9633DB4"/>
    <w:multiLevelType w:val="multilevel"/>
    <w:tmpl w:val="DBC224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FD60093"/>
    <w:multiLevelType w:val="multilevel"/>
    <w:tmpl w:val="953E115E"/>
    <w:lvl w:ilvl="0">
      <w:start w:val="1"/>
      <w:numFmt w:val="bullet"/>
      <w:lvlText w:val="+"/>
      <w:lvlJc w:val="left"/>
      <w:pPr>
        <w:ind w:left="720" w:hanging="360"/>
      </w:pPr>
      <w:rPr>
        <w:rFonts w:ascii="Arial" w:eastAsia="Arial" w:hAnsi="Arial" w:cs="Arial"/>
        <w:b w:val="0"/>
        <w:i w:val="0"/>
        <w:sz w:val="20"/>
        <w:u w:val="none"/>
      </w:rPr>
    </w:lvl>
    <w:lvl w:ilvl="1">
      <w:start w:val="1"/>
      <w:numFmt w:val="bullet"/>
      <w:lvlText w:val="o"/>
      <w:lvlJc w:val="left"/>
      <w:pPr>
        <w:ind w:left="1440" w:hanging="360"/>
      </w:pPr>
      <w:rPr>
        <w:rFonts w:ascii="Arial" w:eastAsia="Courier New" w:hAnsi="Arial" w:cs="Arial"/>
        <w:b w:val="0"/>
        <w:i w:val="0"/>
        <w:sz w:val="20"/>
      </w:rPr>
    </w:lvl>
    <w:lvl w:ilvl="2">
      <w:start w:val="1"/>
      <w:numFmt w:val="bullet"/>
      <w:lvlText w:val="▪"/>
      <w:lvlJc w:val="left"/>
      <w:pPr>
        <w:ind w:left="2160" w:hanging="360"/>
      </w:pPr>
      <w:rPr>
        <w:rFonts w:ascii="Arial" w:eastAsia="Noto Sans Symbols" w:hAnsi="Arial" w:cs="Arial"/>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1B605C"/>
    <w:multiLevelType w:val="multilevel"/>
    <w:tmpl w:val="FA762662"/>
    <w:lvl w:ilvl="0">
      <w:start w:val="1"/>
      <w:numFmt w:val="bullet"/>
      <w:lvlText w:val="-"/>
      <w:lvlJc w:val="left"/>
      <w:pPr>
        <w:ind w:left="0" w:firstLine="0"/>
      </w:pPr>
      <w:rPr>
        <w:rFonts w:ascii="Arial" w:eastAsia="Arial" w:hAnsi="Arial" w:cs="Arial"/>
        <w:b w:val="0"/>
        <w:i w:val="0"/>
        <w:smallCaps w:val="0"/>
        <w:strike w:val="0"/>
        <w:color w:val="3334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8667A12"/>
    <w:multiLevelType w:val="multilevel"/>
    <w:tmpl w:val="9F68F5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BC96788"/>
    <w:multiLevelType w:val="multilevel"/>
    <w:tmpl w:val="4356CFDA"/>
    <w:lvl w:ilvl="0">
      <w:start w:val="1"/>
      <w:numFmt w:val="bullet"/>
      <w:lvlText w:val="-"/>
      <w:lvlJc w:val="left"/>
      <w:pPr>
        <w:ind w:left="0" w:firstLine="0"/>
      </w:pPr>
      <w:rPr>
        <w:rFonts w:ascii="Arial" w:eastAsia="Arial" w:hAnsi="Arial" w:cs="Arial"/>
        <w:b w:val="0"/>
        <w:i w:val="0"/>
        <w:smallCaps w:val="0"/>
        <w:strike w:val="0"/>
        <w:color w:val="3334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6896CE1"/>
    <w:multiLevelType w:val="multilevel"/>
    <w:tmpl w:val="8AAC7D00"/>
    <w:lvl w:ilvl="0">
      <w:start w:val="1"/>
      <w:numFmt w:val="decimal"/>
      <w:lvlText w:val="%1."/>
      <w:lvlJc w:val="left"/>
      <w:pPr>
        <w:ind w:left="141"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41D3F74"/>
    <w:multiLevelType w:val="multilevel"/>
    <w:tmpl w:val="B878815C"/>
    <w:lvl w:ilvl="0">
      <w:start w:val="1"/>
      <w:numFmt w:val="bullet"/>
      <w:lvlText w:val="-"/>
      <w:lvlJc w:val="left"/>
      <w:pPr>
        <w:ind w:left="720" w:hanging="360"/>
      </w:pPr>
      <w:rPr>
        <w:rFonts w:ascii="Arial" w:eastAsia="Arial" w:hAnsi="Arial" w:cs="Arial"/>
        <w:b w:val="0"/>
        <w:i w:val="0"/>
        <w:sz w:val="20"/>
        <w:u w:val="none"/>
      </w:rPr>
    </w:lvl>
    <w:lvl w:ilvl="1">
      <w:start w:val="1"/>
      <w:numFmt w:val="bullet"/>
      <w:lvlText w:val="o"/>
      <w:lvlJc w:val="left"/>
      <w:pPr>
        <w:ind w:left="1440" w:hanging="360"/>
      </w:pPr>
      <w:rPr>
        <w:rFonts w:ascii="Arial" w:eastAsia="Courier New" w:hAnsi="Arial" w:cs="Arial"/>
        <w:b w:val="0"/>
        <w:i w:val="0"/>
        <w:sz w:val="20"/>
      </w:rPr>
    </w:lvl>
    <w:lvl w:ilvl="2">
      <w:start w:val="1"/>
      <w:numFmt w:val="bullet"/>
      <w:lvlText w:val="▪"/>
      <w:lvlJc w:val="left"/>
      <w:pPr>
        <w:ind w:left="2160" w:hanging="360"/>
      </w:pPr>
      <w:rPr>
        <w:rFonts w:ascii="Arial" w:eastAsia="Noto Sans Symbols" w:hAnsi="Arial" w:cs="Arial"/>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10"/>
  </w:num>
  <w:num w:numId="4">
    <w:abstractNumId w:val="2"/>
  </w:num>
  <w:num w:numId="5">
    <w:abstractNumId w:val="5"/>
  </w:num>
  <w:num w:numId="6">
    <w:abstractNumId w:val="8"/>
  </w:num>
  <w:num w:numId="7">
    <w:abstractNumId w:val="0"/>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E2"/>
    <w:rsid w:val="0011622E"/>
    <w:rsid w:val="006B038F"/>
    <w:rsid w:val="007136A7"/>
    <w:rsid w:val="00897982"/>
    <w:rsid w:val="00AC44A0"/>
    <w:rsid w:val="00B42DE2"/>
    <w:rsid w:val="00DA3459"/>
    <w:rsid w:val="00E5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73F3"/>
  <w15:docId w15:val="{ABD2EBD1-6F61-4F8C-9CE0-D641AF60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33343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64A6C"/>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64" w:lineRule="auto"/>
      <w:ind w:firstLine="350"/>
    </w:pPr>
    <w:rPr>
      <w:rFonts w:ascii="Times New Roman" w:eastAsia="Times New Roman" w:hAnsi="Times New Roman" w:cs="Times New Roman"/>
    </w:rPr>
  </w:style>
  <w:style w:type="paragraph" w:customStyle="1" w:styleId="Tablecaption0">
    <w:name w:val="Table caption"/>
    <w:basedOn w:val="Normal"/>
    <w:link w:val="Tablecaption"/>
    <w:pPr>
      <w:ind w:firstLine="350"/>
    </w:pPr>
    <w:rPr>
      <w:rFonts w:ascii="Times New Roman" w:eastAsia="Times New Roman" w:hAnsi="Times New Roman" w:cs="Times New Roman"/>
      <w:i/>
      <w:iCs/>
      <w:color w:val="333436"/>
    </w:rPr>
  </w:style>
  <w:style w:type="paragraph" w:customStyle="1" w:styleId="Bodytext30">
    <w:name w:val="Body text (3)"/>
    <w:basedOn w:val="Normal"/>
    <w:link w:val="Bodytext3"/>
    <w:pPr>
      <w:spacing w:line="199" w:lineRule="auto"/>
    </w:pPr>
    <w:rPr>
      <w:rFonts w:ascii="Arial" w:eastAsia="Arial" w:hAnsi="Arial" w:cs="Arial"/>
      <w:color w:val="B64A6C"/>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table" w:styleId="TableGrid">
    <w:name w:val="Table Grid"/>
    <w:basedOn w:val="TableNormal"/>
    <w:uiPriority w:val="39"/>
    <w:rsid w:val="0024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N7fsU27k1BUcxkIsfCx9YBUZnA==">CgMxLjA4AHIhMV9WVGY3YWZqYUdFY2h1aEZGU2xtOS1jNmZYY3VYaHBt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2024-05-03T11:02:00Z</dcterms:created>
  <dcterms:modified xsi:type="dcterms:W3CDTF">2024-05-03T11:02:00Z</dcterms:modified>
</cp:coreProperties>
</file>