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5BF7" w14:textId="12645009" w:rsidR="00ED2467" w:rsidRPr="00EE1912" w:rsidRDefault="00ED2467" w:rsidP="00ED24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hAnsi="Arial" w:cs="Arial"/>
          <w:b/>
          <w:sz w:val="20"/>
        </w:rPr>
      </w:pPr>
      <w:bookmarkStart w:id="0" w:name="_heading=h.gjdgxs"/>
      <w:bookmarkEnd w:id="0"/>
      <w:r w:rsidRPr="00EE1912">
        <w:rPr>
          <w:rFonts w:ascii="Arial" w:hAnsi="Arial" w:cs="Arial"/>
          <w:b/>
          <w:sz w:val="20"/>
        </w:rPr>
        <w:t>INC: Annual General Mandate 2024</w:t>
      </w:r>
    </w:p>
    <w:p w14:paraId="09BC34BF" w14:textId="0C11ED46" w:rsidR="00AB3FC0" w:rsidRPr="00EE1912" w:rsidRDefault="00F34DC0" w:rsidP="00ED24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EE1912">
        <w:rPr>
          <w:rFonts w:ascii="Arial" w:hAnsi="Arial" w:cs="Arial"/>
          <w:bCs/>
          <w:sz w:val="20"/>
        </w:rPr>
        <w:t>On April 24, 2024, IDICO Investment Consultancy JSC announced General Mandate No. 01/NQ-CT as follows:</w:t>
      </w:r>
    </w:p>
    <w:p w14:paraId="144039DD" w14:textId="141837EA" w:rsidR="00AB3FC0" w:rsidRPr="00EE1912" w:rsidRDefault="00F34DC0" w:rsidP="00ED24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‎‎Article 1. The General Meeting of Shareholders vote</w:t>
      </w:r>
      <w:r w:rsidR="00ED2467" w:rsidRPr="00EE1912">
        <w:rPr>
          <w:rFonts w:ascii="Arial" w:hAnsi="Arial" w:cs="Arial"/>
          <w:sz w:val="20"/>
        </w:rPr>
        <w:t>s</w:t>
      </w:r>
      <w:r w:rsidRPr="00EE1912">
        <w:rPr>
          <w:rFonts w:ascii="Arial" w:hAnsi="Arial" w:cs="Arial"/>
          <w:sz w:val="20"/>
        </w:rPr>
        <w:t xml:space="preserve"> to approve the contents presented at the Meeting, specifically:</w:t>
      </w:r>
    </w:p>
    <w:p w14:paraId="7EF888C8" w14:textId="77777777" w:rsidR="00AB3FC0" w:rsidRPr="00EE1912" w:rsidRDefault="00F34DC0" w:rsidP="00ED24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Report of the Company's Manager on the production and business results in 2023 and the plan for 2024: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9"/>
        <w:gridCol w:w="3662"/>
        <w:gridCol w:w="982"/>
        <w:gridCol w:w="1973"/>
        <w:gridCol w:w="1824"/>
      </w:tblGrid>
      <w:tr w:rsidR="00AB3FC0" w:rsidRPr="00EE1912" w14:paraId="4576E83B" w14:textId="77777777" w:rsidTr="00F34DC0">
        <w:trPr>
          <w:tblHeader/>
        </w:trPr>
        <w:tc>
          <w:tcPr>
            <w:tcW w:w="315" w:type="pct"/>
            <w:shd w:val="clear" w:color="auto" w:fill="auto"/>
            <w:vAlign w:val="center"/>
          </w:tcPr>
          <w:p w14:paraId="1FA45506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7E5E7E19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Targets: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A188AC2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2E074A36" w14:textId="3C5BA8BA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Result</w:t>
            </w:r>
            <w:r w:rsidR="00ED2467" w:rsidRPr="00EE1912">
              <w:rPr>
                <w:rFonts w:ascii="Arial" w:hAnsi="Arial" w:cs="Arial"/>
                <w:sz w:val="20"/>
              </w:rPr>
              <w:t xml:space="preserve">s in </w:t>
            </w:r>
            <w:r w:rsidRPr="00EE1912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8B6BCD3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Plan 2024</w:t>
            </w:r>
          </w:p>
        </w:tc>
      </w:tr>
      <w:tr w:rsidR="00AB3FC0" w:rsidRPr="00EE1912" w14:paraId="4DD1025F" w14:textId="77777777" w:rsidTr="00F34DC0">
        <w:tc>
          <w:tcPr>
            <w:tcW w:w="315" w:type="pct"/>
            <w:shd w:val="clear" w:color="auto" w:fill="auto"/>
            <w:vAlign w:val="center"/>
          </w:tcPr>
          <w:p w14:paraId="7DB809C1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185B27A7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Output value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C0CF2ED" w14:textId="68434E82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Million</w:t>
            </w:r>
            <w:r w:rsidR="00ED2467" w:rsidRPr="00EE1912">
              <w:rPr>
                <w:rFonts w:ascii="Arial" w:hAnsi="Arial" w:cs="Arial"/>
                <w:sz w:val="20"/>
              </w:rPr>
              <w:t xml:space="preserve"> </w:t>
            </w:r>
            <w:r w:rsidRPr="00EE1912">
              <w:rPr>
                <w:rFonts w:ascii="Arial" w:hAnsi="Arial" w:cs="Arial"/>
                <w:sz w:val="20"/>
              </w:rPr>
              <w:t>VND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17D07652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25,500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357E3F5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26,000</w:t>
            </w:r>
          </w:p>
        </w:tc>
      </w:tr>
      <w:tr w:rsidR="00AB3FC0" w:rsidRPr="00EE1912" w14:paraId="35E98111" w14:textId="77777777" w:rsidTr="00F34DC0">
        <w:tc>
          <w:tcPr>
            <w:tcW w:w="315" w:type="pct"/>
            <w:shd w:val="clear" w:color="auto" w:fill="auto"/>
            <w:vAlign w:val="center"/>
          </w:tcPr>
          <w:p w14:paraId="6654E494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61D1FB73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Revenue from consulting activities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FA84404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Million VND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0546341C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24,667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7149C3CD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25,000</w:t>
            </w:r>
          </w:p>
        </w:tc>
      </w:tr>
      <w:tr w:rsidR="00AB3FC0" w:rsidRPr="00EE1912" w14:paraId="74714205" w14:textId="77777777" w:rsidTr="00F34DC0">
        <w:tc>
          <w:tcPr>
            <w:tcW w:w="315" w:type="pct"/>
            <w:shd w:val="clear" w:color="auto" w:fill="auto"/>
            <w:vAlign w:val="center"/>
          </w:tcPr>
          <w:p w14:paraId="5A092ABD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2CB96C07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Profit after tax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0721A70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Million VND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146D28FC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2,016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ACA0D69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2,194</w:t>
            </w:r>
          </w:p>
        </w:tc>
      </w:tr>
      <w:tr w:rsidR="00AB3FC0" w:rsidRPr="00EE1912" w14:paraId="4D977B81" w14:textId="77777777" w:rsidTr="00F34DC0">
        <w:tc>
          <w:tcPr>
            <w:tcW w:w="315" w:type="pct"/>
            <w:shd w:val="clear" w:color="auto" w:fill="auto"/>
            <w:vAlign w:val="center"/>
          </w:tcPr>
          <w:p w14:paraId="37FEA198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3E8A0DB9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Dividends (20% of the charter capital)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13D5350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8B20D7D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1BC3DB1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10</w:t>
            </w:r>
          </w:p>
        </w:tc>
      </w:tr>
    </w:tbl>
    <w:p w14:paraId="4769D34A" w14:textId="717D033D" w:rsidR="00AB3FC0" w:rsidRPr="00EE1912" w:rsidRDefault="00ED2467" w:rsidP="00ED24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R</w:t>
      </w:r>
      <w:r w:rsidR="00F34DC0" w:rsidRPr="00EE1912">
        <w:rPr>
          <w:rFonts w:ascii="Arial" w:hAnsi="Arial" w:cs="Arial"/>
          <w:sz w:val="20"/>
        </w:rPr>
        <w:t>eport of the Board of Directors on the performance of the Board of Directors and each member of the Board of Directors.</w:t>
      </w:r>
    </w:p>
    <w:p w14:paraId="41DB860A" w14:textId="5C498243" w:rsidR="00AB3FC0" w:rsidRPr="00EE1912" w:rsidRDefault="00F34DC0" w:rsidP="00ED24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 xml:space="preserve">Report of the Supervisory Board on the corporate </w:t>
      </w:r>
      <w:r w:rsidR="00ED2467" w:rsidRPr="00EE1912">
        <w:rPr>
          <w:rFonts w:ascii="Arial" w:hAnsi="Arial" w:cs="Arial"/>
          <w:sz w:val="20"/>
        </w:rPr>
        <w:t>governance</w:t>
      </w:r>
      <w:r w:rsidRPr="00EE1912">
        <w:rPr>
          <w:rFonts w:ascii="Arial" w:hAnsi="Arial" w:cs="Arial"/>
          <w:sz w:val="20"/>
        </w:rPr>
        <w:t xml:space="preserve"> of the Board of Directors and </w:t>
      </w:r>
      <w:r w:rsidR="00ED2467" w:rsidRPr="00EE1912">
        <w:rPr>
          <w:rFonts w:ascii="Arial" w:hAnsi="Arial" w:cs="Arial"/>
          <w:sz w:val="20"/>
        </w:rPr>
        <w:t xml:space="preserve">the </w:t>
      </w:r>
      <w:r w:rsidRPr="00EE1912">
        <w:rPr>
          <w:rFonts w:ascii="Arial" w:hAnsi="Arial" w:cs="Arial"/>
          <w:sz w:val="20"/>
        </w:rPr>
        <w:t>Manager.</w:t>
      </w:r>
    </w:p>
    <w:p w14:paraId="1DB20467" w14:textId="77777777" w:rsidR="00AB3FC0" w:rsidRPr="00EE1912" w:rsidRDefault="00F34DC0" w:rsidP="00ED24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 xml:space="preserve">‎‎Article 2. The General Meeting of Shareholders approves the Proposals submitted by the Board of Directors and the Supervisory Board, specifically: </w:t>
      </w:r>
    </w:p>
    <w:p w14:paraId="515FA3EE" w14:textId="77777777" w:rsidR="00AB3FC0" w:rsidRPr="00EE1912" w:rsidRDefault="00F34DC0" w:rsidP="00ED2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94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Approve the Audited Financial Statements 2023 of IDICO Investment Consultancy JSC</w:t>
      </w:r>
    </w:p>
    <w:p w14:paraId="5D20CA5C" w14:textId="7683ED76" w:rsidR="00AB3FC0" w:rsidRPr="00EE1912" w:rsidRDefault="00F34DC0" w:rsidP="00ED2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93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 xml:space="preserve">Approve the profit distribution </w:t>
      </w:r>
      <w:r w:rsidR="00ED2467" w:rsidRPr="00EE1912">
        <w:rPr>
          <w:rFonts w:ascii="Arial" w:hAnsi="Arial" w:cs="Arial"/>
          <w:sz w:val="20"/>
        </w:rPr>
        <w:t xml:space="preserve">plan </w:t>
      </w:r>
      <w:r w:rsidRPr="00EE1912">
        <w:rPr>
          <w:rFonts w:ascii="Arial" w:hAnsi="Arial" w:cs="Arial"/>
          <w:sz w:val="20"/>
        </w:rPr>
        <w:t>for 2023 and the profit distribution plan for 2024.</w:t>
      </w: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7"/>
        <w:gridCol w:w="6460"/>
        <w:gridCol w:w="1973"/>
      </w:tblGrid>
      <w:tr w:rsidR="00AB3FC0" w:rsidRPr="00EE1912" w14:paraId="4FD24CCE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4E0010A6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3585" w:type="pct"/>
            <w:shd w:val="clear" w:color="auto" w:fill="auto"/>
            <w:vAlign w:val="center"/>
          </w:tcPr>
          <w:p w14:paraId="738B995A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Contents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D8704DC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Amount (VND)</w:t>
            </w:r>
          </w:p>
        </w:tc>
      </w:tr>
      <w:tr w:rsidR="00AB3FC0" w:rsidRPr="00EE1912" w14:paraId="35FFCC95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51D94F5B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85" w:type="pct"/>
            <w:shd w:val="clear" w:color="auto" w:fill="auto"/>
            <w:vAlign w:val="center"/>
          </w:tcPr>
          <w:p w14:paraId="18C62BB4" w14:textId="7FE36340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 xml:space="preserve">Profit distribution plan </w:t>
            </w:r>
            <w:r w:rsidR="00ED2467" w:rsidRPr="00EE1912">
              <w:rPr>
                <w:rFonts w:ascii="Arial" w:hAnsi="Arial" w:cs="Arial"/>
                <w:sz w:val="20"/>
              </w:rPr>
              <w:t>for</w:t>
            </w:r>
            <w:r w:rsidRPr="00EE1912">
              <w:rPr>
                <w:rFonts w:ascii="Arial" w:hAnsi="Arial" w:cs="Arial"/>
                <w:sz w:val="20"/>
              </w:rPr>
              <w:t xml:space="preserve"> 2023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05876379" w14:textId="77777777" w:rsidR="00AB3FC0" w:rsidRPr="00EE1912" w:rsidRDefault="00AB3FC0" w:rsidP="00ED246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3FC0" w:rsidRPr="00EE1912" w14:paraId="5C0C8D0E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31584FBD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85" w:type="pct"/>
            <w:shd w:val="clear" w:color="auto" w:fill="auto"/>
            <w:vAlign w:val="center"/>
          </w:tcPr>
          <w:p w14:paraId="23F7D6CF" w14:textId="51638B9B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Undistributed profit after tax accumulated as of December 31, 2023</w:t>
            </w:r>
            <w:r w:rsidR="00ED2467" w:rsidRPr="00EE1912">
              <w:rPr>
                <w:rFonts w:ascii="Arial" w:hAnsi="Arial" w:cs="Arial"/>
                <w:sz w:val="20"/>
              </w:rPr>
              <w:t>,</w:t>
            </w:r>
            <w:r w:rsidRPr="00EE1912">
              <w:rPr>
                <w:rFonts w:ascii="Arial" w:hAnsi="Arial" w:cs="Arial"/>
                <w:sz w:val="20"/>
              </w:rPr>
              <w:t xml:space="preserve"> In which: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75F8922C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4,130,376,062</w:t>
            </w:r>
          </w:p>
        </w:tc>
      </w:tr>
      <w:tr w:rsidR="00AB3FC0" w:rsidRPr="00EE1912" w14:paraId="70051A07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688C41A7" w14:textId="77777777" w:rsidR="00AB3FC0" w:rsidRPr="00EE1912" w:rsidRDefault="00AB3FC0" w:rsidP="00ED246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5" w:type="pct"/>
            <w:shd w:val="clear" w:color="auto" w:fill="auto"/>
            <w:vAlign w:val="center"/>
          </w:tcPr>
          <w:p w14:paraId="67BF8F43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 xml:space="preserve">- Profit after tax transferred from the previous year 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AE7F740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2,114,028,466</w:t>
            </w:r>
          </w:p>
        </w:tc>
      </w:tr>
      <w:tr w:rsidR="00AB3FC0" w:rsidRPr="00EE1912" w14:paraId="10863871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0EC47F33" w14:textId="77777777" w:rsidR="00AB3FC0" w:rsidRPr="00EE1912" w:rsidRDefault="00AB3FC0" w:rsidP="00ED246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5" w:type="pct"/>
            <w:shd w:val="clear" w:color="auto" w:fill="auto"/>
            <w:vAlign w:val="center"/>
          </w:tcPr>
          <w:p w14:paraId="2350765C" w14:textId="72EF8ECD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- Profit after tax in 2023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0D96F0D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2,016,347,596</w:t>
            </w:r>
          </w:p>
        </w:tc>
      </w:tr>
      <w:tr w:rsidR="00AB3FC0" w:rsidRPr="00EE1912" w14:paraId="671E51C4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082FFE0D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85" w:type="pct"/>
            <w:shd w:val="clear" w:color="auto" w:fill="auto"/>
            <w:vAlign w:val="center"/>
          </w:tcPr>
          <w:p w14:paraId="3431F8A3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Profit distribution in 2023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7C1C5CBA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1,700,000,000</w:t>
            </w:r>
          </w:p>
        </w:tc>
      </w:tr>
      <w:tr w:rsidR="00AB3FC0" w:rsidRPr="00EE1912" w14:paraId="01DC7313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1133B255" w14:textId="77777777" w:rsidR="00AB3FC0" w:rsidRPr="00EE1912" w:rsidRDefault="00AB3FC0" w:rsidP="00ED246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5" w:type="pct"/>
            <w:shd w:val="clear" w:color="auto" w:fill="auto"/>
            <w:vAlign w:val="center"/>
          </w:tcPr>
          <w:p w14:paraId="074D3076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- Appropriation for Bonus and welfare fund (5% profit after tax)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748E095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100,000,000</w:t>
            </w:r>
          </w:p>
        </w:tc>
      </w:tr>
      <w:tr w:rsidR="00AB3FC0" w:rsidRPr="00EE1912" w14:paraId="15673787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01374333" w14:textId="77777777" w:rsidR="00AB3FC0" w:rsidRPr="00EE1912" w:rsidRDefault="00AB3FC0" w:rsidP="00ED246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5" w:type="pct"/>
            <w:shd w:val="clear" w:color="auto" w:fill="auto"/>
            <w:vAlign w:val="center"/>
          </w:tcPr>
          <w:p w14:paraId="40199DD9" w14:textId="7EF8260C" w:rsidR="00AB3FC0" w:rsidRPr="00EE1912" w:rsidRDefault="00ED2467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 xml:space="preserve">- </w:t>
            </w:r>
            <w:r w:rsidR="00F34DC0" w:rsidRPr="00EE1912">
              <w:rPr>
                <w:rFonts w:ascii="Arial" w:hAnsi="Arial" w:cs="Arial"/>
                <w:sz w:val="20"/>
              </w:rPr>
              <w:t>Dividend payment in cash (8% of charter capital)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1C95FA6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1,600,000,000</w:t>
            </w:r>
          </w:p>
        </w:tc>
      </w:tr>
      <w:tr w:rsidR="00AB3FC0" w:rsidRPr="00EE1912" w14:paraId="6138043A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33C9EFD0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3585" w:type="pct"/>
            <w:shd w:val="clear" w:color="auto" w:fill="auto"/>
            <w:vAlign w:val="center"/>
          </w:tcPr>
          <w:p w14:paraId="6501DA1F" w14:textId="3FA97C6D" w:rsidR="00AB3FC0" w:rsidRPr="00EE1912" w:rsidRDefault="00ED2467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Remaining p</w:t>
            </w:r>
            <w:r w:rsidR="00F34DC0" w:rsidRPr="00EE1912">
              <w:rPr>
                <w:rFonts w:ascii="Arial" w:hAnsi="Arial" w:cs="Arial"/>
                <w:sz w:val="20"/>
              </w:rPr>
              <w:t xml:space="preserve">rofit after tax </w:t>
            </w:r>
            <w:proofErr w:type="spellStart"/>
            <w:r w:rsidR="00F34DC0" w:rsidRPr="00EE1912">
              <w:rPr>
                <w:rFonts w:ascii="Arial" w:hAnsi="Arial" w:cs="Arial"/>
                <w:sz w:val="20"/>
              </w:rPr>
              <w:t>transfered</w:t>
            </w:r>
            <w:proofErr w:type="spellEnd"/>
            <w:r w:rsidR="00F34DC0" w:rsidRPr="00EE1912">
              <w:rPr>
                <w:rFonts w:ascii="Arial" w:hAnsi="Arial" w:cs="Arial"/>
                <w:sz w:val="20"/>
              </w:rPr>
              <w:t xml:space="preserve"> to the next year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1319D61E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2,430,376,062</w:t>
            </w:r>
          </w:p>
        </w:tc>
      </w:tr>
      <w:tr w:rsidR="00AB3FC0" w:rsidRPr="00EE1912" w14:paraId="19351DDC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3D072247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85" w:type="pct"/>
            <w:shd w:val="clear" w:color="auto" w:fill="auto"/>
            <w:vAlign w:val="center"/>
          </w:tcPr>
          <w:p w14:paraId="55BAC546" w14:textId="622531AB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 xml:space="preserve">Profit distribution plan </w:t>
            </w:r>
            <w:r w:rsidR="00ED2467" w:rsidRPr="00EE1912">
              <w:rPr>
                <w:rFonts w:ascii="Arial" w:hAnsi="Arial" w:cs="Arial"/>
                <w:sz w:val="20"/>
              </w:rPr>
              <w:t xml:space="preserve">for </w:t>
            </w:r>
            <w:r w:rsidRPr="00EE1912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792EF334" w14:textId="77777777" w:rsidR="00AB3FC0" w:rsidRPr="00EE1912" w:rsidRDefault="00AB3FC0" w:rsidP="00ED246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3FC0" w:rsidRPr="00EE1912" w14:paraId="2E93D13A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25C74017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85" w:type="pct"/>
            <w:shd w:val="clear" w:color="auto" w:fill="auto"/>
            <w:vAlign w:val="center"/>
          </w:tcPr>
          <w:p w14:paraId="67F26A8D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Expected undistributed profit after tax accumulated as of December 31, 2024. In which: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9EE85E7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4,624,376,062</w:t>
            </w:r>
          </w:p>
        </w:tc>
      </w:tr>
      <w:tr w:rsidR="00AB3FC0" w:rsidRPr="00EE1912" w14:paraId="33061385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77CE5D88" w14:textId="77777777" w:rsidR="00AB3FC0" w:rsidRPr="00EE1912" w:rsidRDefault="00AB3FC0" w:rsidP="00ED246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5" w:type="pct"/>
            <w:shd w:val="clear" w:color="auto" w:fill="auto"/>
            <w:vAlign w:val="center"/>
          </w:tcPr>
          <w:p w14:paraId="42E724D7" w14:textId="47EF47DC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- Profit transferred from the previous year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87D1E74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2,430,376,062</w:t>
            </w:r>
          </w:p>
        </w:tc>
      </w:tr>
      <w:tr w:rsidR="00AB3FC0" w:rsidRPr="00EE1912" w14:paraId="059FAB67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0B27A4D2" w14:textId="77777777" w:rsidR="00AB3FC0" w:rsidRPr="00EE1912" w:rsidRDefault="00AB3FC0" w:rsidP="00ED246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5" w:type="pct"/>
            <w:shd w:val="clear" w:color="auto" w:fill="auto"/>
            <w:vAlign w:val="center"/>
          </w:tcPr>
          <w:p w14:paraId="0AEAB50E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- Plan for profit after tax in 2024: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930865E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2,194,000,000</w:t>
            </w:r>
          </w:p>
        </w:tc>
      </w:tr>
      <w:tr w:rsidR="00AB3FC0" w:rsidRPr="00EE1912" w14:paraId="08CBAC4D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597F4D6E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85" w:type="pct"/>
            <w:shd w:val="clear" w:color="auto" w:fill="auto"/>
            <w:vAlign w:val="center"/>
          </w:tcPr>
          <w:p w14:paraId="03CA6BF3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Profit distribution plan for 2024: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079C0DD7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3,050,000,000</w:t>
            </w:r>
          </w:p>
        </w:tc>
      </w:tr>
      <w:tr w:rsidR="00AB3FC0" w:rsidRPr="00EE1912" w14:paraId="3DA44659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089DCC7C" w14:textId="77777777" w:rsidR="00AB3FC0" w:rsidRPr="00EE1912" w:rsidRDefault="00AB3FC0" w:rsidP="00ED246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5" w:type="pct"/>
            <w:shd w:val="clear" w:color="auto" w:fill="auto"/>
            <w:vAlign w:val="center"/>
          </w:tcPr>
          <w:p w14:paraId="28BA619A" w14:textId="509DF3AE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 xml:space="preserve">- Appropriation for employees’ bonus </w:t>
            </w:r>
            <w:r w:rsidR="00ED2467" w:rsidRPr="00EE1912">
              <w:rPr>
                <w:rFonts w:ascii="Arial" w:hAnsi="Arial" w:cs="Arial"/>
                <w:sz w:val="20"/>
              </w:rPr>
              <w:t>(from</w:t>
            </w:r>
            <w:r w:rsidRPr="00EE1912">
              <w:rPr>
                <w:rFonts w:ascii="Arial" w:hAnsi="Arial" w:cs="Arial"/>
                <w:sz w:val="20"/>
              </w:rPr>
              <w:t xml:space="preserve"> 01 monthly salary/ person)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113F1F66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900,000,000</w:t>
            </w:r>
          </w:p>
        </w:tc>
      </w:tr>
      <w:tr w:rsidR="00AB3FC0" w:rsidRPr="00EE1912" w14:paraId="5928734E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622BAA4F" w14:textId="77777777" w:rsidR="00AB3FC0" w:rsidRPr="00EE1912" w:rsidRDefault="00AB3FC0" w:rsidP="00ED246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5" w:type="pct"/>
            <w:shd w:val="clear" w:color="auto" w:fill="auto"/>
            <w:vAlign w:val="center"/>
          </w:tcPr>
          <w:p w14:paraId="40317AB5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- Dividend payment in cash (10% of charter capital)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53D3BB5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2,000,000,000</w:t>
            </w:r>
          </w:p>
        </w:tc>
      </w:tr>
      <w:tr w:rsidR="00AB3FC0" w:rsidRPr="00EE1912" w14:paraId="7F3F288E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7FDC6E65" w14:textId="77777777" w:rsidR="00AB3FC0" w:rsidRPr="00EE1912" w:rsidRDefault="00AB3FC0" w:rsidP="00ED246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5" w:type="pct"/>
            <w:shd w:val="clear" w:color="auto" w:fill="auto"/>
            <w:vAlign w:val="center"/>
          </w:tcPr>
          <w:p w14:paraId="46840A95" w14:textId="0C5107D1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 xml:space="preserve">- </w:t>
            </w:r>
            <w:r w:rsidR="00ED2467" w:rsidRPr="00EE1912">
              <w:rPr>
                <w:rFonts w:ascii="Arial" w:hAnsi="Arial" w:cs="Arial"/>
                <w:sz w:val="20"/>
              </w:rPr>
              <w:t xml:space="preserve">Appropriation for </w:t>
            </w:r>
            <w:r w:rsidRPr="00EE1912">
              <w:rPr>
                <w:rFonts w:ascii="Arial" w:hAnsi="Arial" w:cs="Arial"/>
                <w:sz w:val="20"/>
              </w:rPr>
              <w:t xml:space="preserve">Bonus fund for the </w:t>
            </w:r>
            <w:r w:rsidR="00ED2467" w:rsidRPr="00EE1912">
              <w:rPr>
                <w:rFonts w:ascii="Arial" w:hAnsi="Arial" w:cs="Arial"/>
                <w:sz w:val="20"/>
              </w:rPr>
              <w:t xml:space="preserve">Board of Directors and the </w:t>
            </w:r>
            <w:r w:rsidRPr="00EE1912">
              <w:rPr>
                <w:rFonts w:ascii="Arial" w:hAnsi="Arial" w:cs="Arial"/>
                <w:sz w:val="20"/>
              </w:rPr>
              <w:t>Executive Board (15%/ profit exceeding the plan)</w:t>
            </w:r>
            <w:r w:rsidR="00ED2467" w:rsidRPr="00EE191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296D390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150,000,000</w:t>
            </w:r>
          </w:p>
        </w:tc>
      </w:tr>
      <w:tr w:rsidR="00AB3FC0" w:rsidRPr="00EE1912" w14:paraId="67B792FF" w14:textId="77777777" w:rsidTr="00F34DC0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14:paraId="3503C958" w14:textId="77777777" w:rsidR="00AB3FC0" w:rsidRPr="00EE1912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191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85" w:type="pct"/>
            <w:shd w:val="clear" w:color="auto" w:fill="auto"/>
            <w:vAlign w:val="center"/>
          </w:tcPr>
          <w:p w14:paraId="6D501540" w14:textId="1BA5A47C" w:rsidR="00AB3FC0" w:rsidRPr="001E60B3" w:rsidRDefault="00F34DC0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E60B3">
              <w:rPr>
                <w:rFonts w:ascii="Arial" w:hAnsi="Arial" w:cs="Arial"/>
                <w:color w:val="000000" w:themeColor="text1"/>
                <w:sz w:val="20"/>
              </w:rPr>
              <w:t xml:space="preserve">Profit after tax </w:t>
            </w:r>
            <w:proofErr w:type="spellStart"/>
            <w:r w:rsidRPr="001E60B3">
              <w:rPr>
                <w:rFonts w:ascii="Arial" w:hAnsi="Arial" w:cs="Arial"/>
                <w:color w:val="000000" w:themeColor="text1"/>
                <w:sz w:val="20"/>
              </w:rPr>
              <w:t>transfered</w:t>
            </w:r>
            <w:proofErr w:type="spellEnd"/>
            <w:r w:rsidRPr="001E60B3">
              <w:rPr>
                <w:rFonts w:ascii="Arial" w:hAnsi="Arial" w:cs="Arial"/>
                <w:color w:val="000000" w:themeColor="text1"/>
                <w:sz w:val="20"/>
              </w:rPr>
              <w:t xml:space="preserve"> to the next year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44C21C0" w14:textId="68C185AF" w:rsidR="00AB3FC0" w:rsidRPr="001E60B3" w:rsidRDefault="00ED2467" w:rsidP="00ED2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E60B3">
              <w:rPr>
                <w:rFonts w:ascii="Arial" w:hAnsi="Arial" w:cs="Arial"/>
                <w:color w:val="000000" w:themeColor="text1"/>
                <w:sz w:val="20"/>
              </w:rPr>
              <w:t>1,</w:t>
            </w:r>
            <w:r w:rsidR="00F34DC0" w:rsidRPr="001E60B3">
              <w:rPr>
                <w:rFonts w:ascii="Arial" w:hAnsi="Arial" w:cs="Arial"/>
                <w:color w:val="000000" w:themeColor="text1"/>
                <w:sz w:val="20"/>
              </w:rPr>
              <w:t>574</w:t>
            </w:r>
            <w:r w:rsidRPr="001E60B3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="00F34DC0" w:rsidRPr="001E60B3">
              <w:rPr>
                <w:rFonts w:ascii="Arial" w:hAnsi="Arial" w:cs="Arial"/>
                <w:color w:val="000000" w:themeColor="text1"/>
                <w:sz w:val="20"/>
              </w:rPr>
              <w:t>376</w:t>
            </w:r>
            <w:r w:rsidRPr="001E60B3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="00F34DC0" w:rsidRPr="001E60B3">
              <w:rPr>
                <w:rFonts w:ascii="Arial" w:hAnsi="Arial" w:cs="Arial"/>
                <w:color w:val="000000" w:themeColor="text1"/>
                <w:sz w:val="20"/>
              </w:rPr>
              <w:t>062</w:t>
            </w:r>
          </w:p>
        </w:tc>
      </w:tr>
    </w:tbl>
    <w:p w14:paraId="088F2F16" w14:textId="7161912C" w:rsidR="00AB3FC0" w:rsidRPr="00EE1912" w:rsidRDefault="00F34DC0" w:rsidP="001E6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Approve the</w:t>
      </w:r>
      <w:r w:rsidR="00ED2467" w:rsidRPr="00EE1912">
        <w:rPr>
          <w:rFonts w:ascii="Arial" w:hAnsi="Arial" w:cs="Arial"/>
          <w:sz w:val="20"/>
        </w:rPr>
        <w:t xml:space="preserve"> R</w:t>
      </w:r>
      <w:r w:rsidRPr="00EE1912">
        <w:rPr>
          <w:rFonts w:ascii="Arial" w:hAnsi="Arial" w:cs="Arial"/>
          <w:sz w:val="20"/>
        </w:rPr>
        <w:t>eport on the total remuneration, salary, and bonus settlement of the Board of Directors and the Supervisory Board in 2023 and the plan for 2024 as follows:</w:t>
      </w:r>
    </w:p>
    <w:p w14:paraId="780E086D" w14:textId="77777777" w:rsidR="00AB3FC0" w:rsidRPr="00EE1912" w:rsidRDefault="00F34DC0" w:rsidP="001E60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2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The total remuneration, salary, and bonus settlement of the Board of Directors, the Supervisory Board, the person in charge of corporate governance/ the Secretariat of the Company in 2023 is: VND 272,221,666.</w:t>
      </w:r>
    </w:p>
    <w:p w14:paraId="4D662898" w14:textId="1324FB76" w:rsidR="00AB3FC0" w:rsidRPr="00EE1912" w:rsidRDefault="00F34DC0" w:rsidP="001E60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3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Plan for total remuneration, salary, bonus of the Board of Directors</w:t>
      </w:r>
      <w:r w:rsidR="00ED2467" w:rsidRPr="00EE1912">
        <w:rPr>
          <w:rFonts w:ascii="Arial" w:hAnsi="Arial" w:cs="Arial"/>
          <w:sz w:val="20"/>
        </w:rPr>
        <w:t xml:space="preserve"> and </w:t>
      </w:r>
      <w:r w:rsidRPr="00EE1912">
        <w:rPr>
          <w:rFonts w:ascii="Arial" w:hAnsi="Arial" w:cs="Arial"/>
          <w:sz w:val="20"/>
        </w:rPr>
        <w:t>the Supervisory Board</w:t>
      </w:r>
      <w:r w:rsidR="00ED2467" w:rsidRPr="00EE1912">
        <w:rPr>
          <w:rFonts w:ascii="Arial" w:hAnsi="Arial" w:cs="Arial"/>
          <w:sz w:val="20"/>
        </w:rPr>
        <w:t xml:space="preserve"> </w:t>
      </w:r>
      <w:r w:rsidRPr="00EE1912">
        <w:rPr>
          <w:rFonts w:ascii="Arial" w:hAnsi="Arial" w:cs="Arial"/>
          <w:sz w:val="20"/>
        </w:rPr>
        <w:t xml:space="preserve">of the Company in 2023 </w:t>
      </w:r>
      <w:r w:rsidR="00ED2467" w:rsidRPr="00EE1912">
        <w:rPr>
          <w:rFonts w:ascii="Arial" w:hAnsi="Arial" w:cs="Arial"/>
          <w:sz w:val="20"/>
        </w:rPr>
        <w:t xml:space="preserve">is </w:t>
      </w:r>
      <w:r w:rsidRPr="00EE1912">
        <w:rPr>
          <w:rFonts w:ascii="Arial" w:hAnsi="Arial" w:cs="Arial"/>
          <w:sz w:val="20"/>
        </w:rPr>
        <w:t>as follows:</w:t>
      </w:r>
    </w:p>
    <w:p w14:paraId="633037BE" w14:textId="0CCFA5A7" w:rsidR="00AB3FC0" w:rsidRPr="00EE1912" w:rsidRDefault="00F34DC0" w:rsidP="001E60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8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The Board of Directors</w:t>
      </w:r>
      <w:r w:rsidR="00ED2467" w:rsidRPr="00EE1912">
        <w:rPr>
          <w:rFonts w:ascii="Arial" w:hAnsi="Arial" w:cs="Arial"/>
          <w:sz w:val="20"/>
        </w:rPr>
        <w:t>:</w:t>
      </w:r>
      <w:r w:rsidRPr="00EE1912">
        <w:rPr>
          <w:rFonts w:ascii="Arial" w:hAnsi="Arial" w:cs="Arial"/>
          <w:sz w:val="20"/>
        </w:rPr>
        <w:t xml:space="preserve"> VND 200,000,000</w:t>
      </w:r>
    </w:p>
    <w:p w14:paraId="4BD75CC6" w14:textId="77777777" w:rsidR="00AB3FC0" w:rsidRPr="00EE1912" w:rsidRDefault="00F34DC0" w:rsidP="001E60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87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The Supervisory Board: VND 100,000,000</w:t>
      </w:r>
    </w:p>
    <w:p w14:paraId="200EEF39" w14:textId="77777777" w:rsidR="00AB3FC0" w:rsidRPr="00EE1912" w:rsidRDefault="00F34DC0" w:rsidP="001E60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Remuneration, salary, and bonus for each member of the Board of Directors and the Supervisory Board decided by the Board of Directors in accordance with the rule of unanimity.</w:t>
      </w:r>
    </w:p>
    <w:p w14:paraId="77FC28A2" w14:textId="6DA6C63A" w:rsidR="00AB3FC0" w:rsidRPr="00EE1912" w:rsidRDefault="00F34DC0" w:rsidP="001E60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3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 xml:space="preserve">Members of the Board of Directors and </w:t>
      </w:r>
      <w:r w:rsidR="00ED2467" w:rsidRPr="00EE1912">
        <w:rPr>
          <w:rFonts w:ascii="Arial" w:hAnsi="Arial" w:cs="Arial"/>
          <w:sz w:val="20"/>
        </w:rPr>
        <w:t xml:space="preserve">the </w:t>
      </w:r>
      <w:r w:rsidRPr="00EE1912">
        <w:rPr>
          <w:rFonts w:ascii="Arial" w:hAnsi="Arial" w:cs="Arial"/>
          <w:sz w:val="20"/>
        </w:rPr>
        <w:t xml:space="preserve">Supervisory Board are reimbursed for meals, accommodation, travel and other reasonable expenses when </w:t>
      </w:r>
      <w:r w:rsidR="00ED2467" w:rsidRPr="00EE1912">
        <w:rPr>
          <w:rFonts w:ascii="Arial" w:hAnsi="Arial" w:cs="Arial"/>
          <w:sz w:val="20"/>
        </w:rPr>
        <w:t>implementing</w:t>
      </w:r>
      <w:r w:rsidRPr="00EE1912">
        <w:rPr>
          <w:rFonts w:ascii="Arial" w:hAnsi="Arial" w:cs="Arial"/>
          <w:sz w:val="20"/>
        </w:rPr>
        <w:t xml:space="preserve"> assigned tasks according to actual </w:t>
      </w:r>
      <w:r w:rsidR="00ED2467" w:rsidRPr="00EE1912">
        <w:rPr>
          <w:rFonts w:ascii="Arial" w:hAnsi="Arial" w:cs="Arial"/>
          <w:sz w:val="20"/>
        </w:rPr>
        <w:t>expenses</w:t>
      </w:r>
      <w:r w:rsidRPr="00EE1912">
        <w:rPr>
          <w:rFonts w:ascii="Arial" w:hAnsi="Arial" w:cs="Arial"/>
          <w:sz w:val="20"/>
        </w:rPr>
        <w:t xml:space="preserve"> incurred.</w:t>
      </w:r>
    </w:p>
    <w:p w14:paraId="1FAFC145" w14:textId="77777777" w:rsidR="00AB3FC0" w:rsidRPr="00EE1912" w:rsidRDefault="00F34DC0" w:rsidP="001E6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93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Approve the list of audit companies and authorize the Board of Directors to select the independent audit company to audit the Financial Statements 2024 of IDICO Investment Consultancy JSC.</w:t>
      </w:r>
    </w:p>
    <w:p w14:paraId="349635A1" w14:textId="591D79BB" w:rsidR="00AB3FC0" w:rsidRPr="00EE1912" w:rsidRDefault="00F34DC0" w:rsidP="001E6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94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 xml:space="preserve">Approve the consulting contracts between IDICO Investment Consultancy JSC </w:t>
      </w:r>
      <w:r w:rsidR="00ED2467" w:rsidRPr="00EE1912">
        <w:rPr>
          <w:rFonts w:ascii="Arial" w:hAnsi="Arial" w:cs="Arial"/>
          <w:sz w:val="20"/>
        </w:rPr>
        <w:t>and</w:t>
      </w:r>
      <w:r w:rsidRPr="00EE1912">
        <w:rPr>
          <w:rFonts w:ascii="Arial" w:hAnsi="Arial" w:cs="Arial"/>
          <w:sz w:val="20"/>
        </w:rPr>
        <w:t xml:space="preserve"> IDICO Corporation- JSC and the stakeholders </w:t>
      </w:r>
      <w:r w:rsidR="00ED2467" w:rsidRPr="00EE1912">
        <w:rPr>
          <w:rFonts w:ascii="Arial" w:hAnsi="Arial" w:cs="Arial"/>
          <w:sz w:val="20"/>
        </w:rPr>
        <w:t xml:space="preserve">of </w:t>
      </w:r>
      <w:r w:rsidRPr="00EE1912">
        <w:rPr>
          <w:rFonts w:ascii="Arial" w:hAnsi="Arial" w:cs="Arial"/>
          <w:sz w:val="20"/>
        </w:rPr>
        <w:t xml:space="preserve">IDICO Corporation -JSC, specifically: </w:t>
      </w:r>
    </w:p>
    <w:p w14:paraId="019438DC" w14:textId="1DFF60C6" w:rsidR="00AB3FC0" w:rsidRPr="00EE1912" w:rsidRDefault="00F34DC0" w:rsidP="001E60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84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 xml:space="preserve">Transaction </w:t>
      </w:r>
      <w:r w:rsidR="00ED2467" w:rsidRPr="00EE1912">
        <w:rPr>
          <w:rFonts w:ascii="Arial" w:hAnsi="Arial" w:cs="Arial"/>
          <w:sz w:val="20"/>
        </w:rPr>
        <w:t>v</w:t>
      </w:r>
      <w:r w:rsidRPr="00EE1912">
        <w:rPr>
          <w:rFonts w:ascii="Arial" w:hAnsi="Arial" w:cs="Arial"/>
          <w:sz w:val="20"/>
        </w:rPr>
        <w:t>alue signed with IDICO Corporation</w:t>
      </w:r>
      <w:r w:rsidR="00ED2467" w:rsidRPr="00EE1912">
        <w:rPr>
          <w:rFonts w:ascii="Arial" w:hAnsi="Arial" w:cs="Arial"/>
          <w:sz w:val="20"/>
        </w:rPr>
        <w:t xml:space="preserve">: </w:t>
      </w:r>
      <w:r w:rsidRPr="00EE1912">
        <w:rPr>
          <w:rFonts w:ascii="Arial" w:hAnsi="Arial" w:cs="Arial"/>
          <w:sz w:val="20"/>
        </w:rPr>
        <w:t>VND 10,000,000,000</w:t>
      </w:r>
    </w:p>
    <w:p w14:paraId="2E55FB75" w14:textId="4565C0DB" w:rsidR="00AB3FC0" w:rsidRPr="00EE1912" w:rsidRDefault="00F34DC0" w:rsidP="00ED24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83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 xml:space="preserve">Assign the Company’s Manager to negotiate and sign contracts with INDICO Corporation - JSC and </w:t>
      </w:r>
      <w:r w:rsidR="00ED2467" w:rsidRPr="00EE1912">
        <w:rPr>
          <w:rFonts w:ascii="Arial" w:hAnsi="Arial" w:cs="Arial"/>
          <w:sz w:val="20"/>
        </w:rPr>
        <w:t>stakeholders</w:t>
      </w:r>
      <w:r w:rsidRPr="00EE1912">
        <w:rPr>
          <w:rFonts w:ascii="Arial" w:hAnsi="Arial" w:cs="Arial"/>
          <w:sz w:val="20"/>
        </w:rPr>
        <w:t xml:space="preserve">. </w:t>
      </w:r>
    </w:p>
    <w:p w14:paraId="339C7F70" w14:textId="6BA45D89" w:rsidR="00AB3FC0" w:rsidRPr="00EE1912" w:rsidRDefault="00F34DC0" w:rsidP="001E6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94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lastRenderedPageBreak/>
        <w:t xml:space="preserve">Approve the amendment, supplement, and promulgation of IDICO Investment Consultancy JSC’s new Charter. </w:t>
      </w:r>
      <w:r w:rsidR="00ED2467" w:rsidRPr="00EE1912">
        <w:rPr>
          <w:rFonts w:ascii="Arial" w:hAnsi="Arial" w:cs="Arial"/>
          <w:sz w:val="20"/>
        </w:rPr>
        <w:t xml:space="preserve"> </w:t>
      </w:r>
    </w:p>
    <w:p w14:paraId="15D1B90E" w14:textId="6EC46026" w:rsidR="00AB3FC0" w:rsidRPr="00EE1912" w:rsidRDefault="00F34DC0" w:rsidP="001E60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 xml:space="preserve">‎‎Article 3. Approve </w:t>
      </w:r>
      <w:r w:rsidR="00ED2467" w:rsidRPr="00EE1912">
        <w:rPr>
          <w:rFonts w:ascii="Arial" w:hAnsi="Arial" w:cs="Arial"/>
          <w:sz w:val="20"/>
        </w:rPr>
        <w:t xml:space="preserve">on </w:t>
      </w:r>
      <w:r w:rsidRPr="00EE1912">
        <w:rPr>
          <w:rFonts w:ascii="Arial" w:hAnsi="Arial" w:cs="Arial"/>
          <w:sz w:val="20"/>
        </w:rPr>
        <w:t xml:space="preserve">dismissing Bui Thi Kim </w:t>
      </w:r>
      <w:proofErr w:type="spellStart"/>
      <w:r w:rsidRPr="00EE1912">
        <w:rPr>
          <w:rFonts w:ascii="Arial" w:hAnsi="Arial" w:cs="Arial"/>
          <w:sz w:val="20"/>
        </w:rPr>
        <w:t>Hoa</w:t>
      </w:r>
      <w:proofErr w:type="spellEnd"/>
      <w:r w:rsidRPr="00EE1912">
        <w:rPr>
          <w:rFonts w:ascii="Arial" w:hAnsi="Arial" w:cs="Arial"/>
          <w:sz w:val="20"/>
        </w:rPr>
        <w:t xml:space="preserve"> as member of the Board of Directors</w:t>
      </w:r>
      <w:r w:rsidR="00ED2467" w:rsidRPr="00EE1912">
        <w:rPr>
          <w:rFonts w:ascii="Arial" w:hAnsi="Arial" w:cs="Arial"/>
          <w:sz w:val="20"/>
        </w:rPr>
        <w:t>.</w:t>
      </w:r>
      <w:r w:rsidRPr="00EE1912">
        <w:rPr>
          <w:rFonts w:ascii="Arial" w:hAnsi="Arial" w:cs="Arial"/>
          <w:sz w:val="20"/>
        </w:rPr>
        <w:t xml:space="preserve"> Approve on dismissing Tran Thi Ngoc Loan as member of the Supervisory Board:</w:t>
      </w:r>
    </w:p>
    <w:p w14:paraId="29B50340" w14:textId="77777777" w:rsidR="00AB3FC0" w:rsidRPr="00EE1912" w:rsidRDefault="00F34DC0" w:rsidP="001E60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Approve the election results of members of the Board of Directors and members of the Supervisory Board as follows:</w:t>
      </w:r>
    </w:p>
    <w:p w14:paraId="204A7014" w14:textId="14B45213" w:rsidR="00AB3FC0" w:rsidRPr="00EE1912" w:rsidRDefault="00F34DC0" w:rsidP="001E60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84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 xml:space="preserve">Mr. Huynh Anh Tuan was elected as member of the Board of Directors </w:t>
      </w:r>
      <w:r w:rsidR="00ED2467" w:rsidRPr="00EE1912">
        <w:rPr>
          <w:rFonts w:ascii="Arial" w:hAnsi="Arial" w:cs="Arial"/>
          <w:sz w:val="20"/>
        </w:rPr>
        <w:t>for</w:t>
      </w:r>
      <w:r w:rsidRPr="00EE1912">
        <w:rPr>
          <w:rFonts w:ascii="Arial" w:hAnsi="Arial" w:cs="Arial"/>
          <w:sz w:val="20"/>
        </w:rPr>
        <w:t xml:space="preserve"> the </w:t>
      </w:r>
      <w:r w:rsidR="00ED2467" w:rsidRPr="00EE1912">
        <w:rPr>
          <w:rFonts w:ascii="Arial" w:hAnsi="Arial" w:cs="Arial"/>
          <w:sz w:val="20"/>
        </w:rPr>
        <w:t xml:space="preserve">term </w:t>
      </w:r>
      <w:r w:rsidRPr="00EE1912">
        <w:rPr>
          <w:rFonts w:ascii="Arial" w:hAnsi="Arial" w:cs="Arial"/>
          <w:sz w:val="20"/>
        </w:rPr>
        <w:t>2022-2027.</w:t>
      </w:r>
    </w:p>
    <w:p w14:paraId="62BA6579" w14:textId="7F8B0E66" w:rsidR="00AB3FC0" w:rsidRPr="00EE1912" w:rsidRDefault="00F34DC0" w:rsidP="001E60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83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 xml:space="preserve">Mr. Do </w:t>
      </w:r>
      <w:proofErr w:type="spellStart"/>
      <w:r w:rsidRPr="00EE1912">
        <w:rPr>
          <w:rFonts w:ascii="Arial" w:hAnsi="Arial" w:cs="Arial"/>
          <w:sz w:val="20"/>
        </w:rPr>
        <w:t>Tat</w:t>
      </w:r>
      <w:proofErr w:type="spellEnd"/>
      <w:r w:rsidRPr="00EE1912">
        <w:rPr>
          <w:rFonts w:ascii="Arial" w:hAnsi="Arial" w:cs="Arial"/>
          <w:sz w:val="20"/>
        </w:rPr>
        <w:t xml:space="preserve"> </w:t>
      </w:r>
      <w:proofErr w:type="spellStart"/>
      <w:r w:rsidRPr="00EE1912">
        <w:rPr>
          <w:rFonts w:ascii="Arial" w:hAnsi="Arial" w:cs="Arial"/>
          <w:sz w:val="20"/>
        </w:rPr>
        <w:t>Khiem</w:t>
      </w:r>
      <w:proofErr w:type="spellEnd"/>
      <w:r w:rsidRPr="00EE1912">
        <w:rPr>
          <w:rFonts w:ascii="Arial" w:hAnsi="Arial" w:cs="Arial"/>
          <w:sz w:val="20"/>
        </w:rPr>
        <w:t xml:space="preserve"> was elected as member of the Supervisory Board </w:t>
      </w:r>
      <w:r w:rsidR="00ED2467" w:rsidRPr="00EE1912">
        <w:rPr>
          <w:rFonts w:ascii="Arial" w:hAnsi="Arial" w:cs="Arial"/>
          <w:sz w:val="20"/>
        </w:rPr>
        <w:t>for</w:t>
      </w:r>
      <w:r w:rsidRPr="00EE1912">
        <w:rPr>
          <w:rFonts w:ascii="Arial" w:hAnsi="Arial" w:cs="Arial"/>
          <w:sz w:val="20"/>
        </w:rPr>
        <w:t xml:space="preserve"> the </w:t>
      </w:r>
      <w:r w:rsidR="00ED2467" w:rsidRPr="00EE1912">
        <w:rPr>
          <w:rFonts w:ascii="Arial" w:hAnsi="Arial" w:cs="Arial"/>
          <w:sz w:val="20"/>
        </w:rPr>
        <w:t xml:space="preserve">term </w:t>
      </w:r>
      <w:r w:rsidRPr="00EE1912">
        <w:rPr>
          <w:rFonts w:ascii="Arial" w:hAnsi="Arial" w:cs="Arial"/>
          <w:sz w:val="20"/>
        </w:rPr>
        <w:t>2022-2027</w:t>
      </w:r>
      <w:r w:rsidRPr="00EE1912">
        <w:rPr>
          <w:rFonts w:ascii="Arial" w:hAnsi="Arial" w:cs="Arial"/>
          <w:sz w:val="20"/>
        </w:rPr>
        <w:tab/>
      </w:r>
    </w:p>
    <w:p w14:paraId="23D3CFFA" w14:textId="215EB89F" w:rsidR="00AB3FC0" w:rsidRPr="00EE1912" w:rsidRDefault="00F34DC0" w:rsidP="001E60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83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 xml:space="preserve">Approve the </w:t>
      </w:r>
      <w:r w:rsidR="00EE1912" w:rsidRPr="00EE1912">
        <w:rPr>
          <w:rFonts w:ascii="Arial" w:hAnsi="Arial" w:cs="Arial"/>
          <w:sz w:val="20"/>
        </w:rPr>
        <w:t>election results</w:t>
      </w:r>
      <w:r w:rsidRPr="00EE1912">
        <w:rPr>
          <w:rFonts w:ascii="Arial" w:hAnsi="Arial" w:cs="Arial"/>
          <w:sz w:val="20"/>
        </w:rPr>
        <w:t xml:space="preserve"> of Mr. Vu Tuan </w:t>
      </w:r>
      <w:bookmarkStart w:id="1" w:name="_GoBack"/>
      <w:bookmarkEnd w:id="1"/>
      <w:r w:rsidRPr="00EE1912">
        <w:rPr>
          <w:rFonts w:ascii="Arial" w:hAnsi="Arial" w:cs="Arial"/>
          <w:sz w:val="20"/>
        </w:rPr>
        <w:t>Anh as the Chief of the Supervisory Board</w:t>
      </w:r>
    </w:p>
    <w:p w14:paraId="0FDE731A" w14:textId="5CA0C863" w:rsidR="00AB3FC0" w:rsidRPr="00EE1912" w:rsidRDefault="00F34DC0" w:rsidP="001E60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897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‎‎Article 4. Terms of enforcement,</w:t>
      </w:r>
      <w:r w:rsidRPr="00EE1912">
        <w:rPr>
          <w:rFonts w:ascii="Arial" w:hAnsi="Arial" w:cs="Arial"/>
          <w:sz w:val="20"/>
        </w:rPr>
        <w:tab/>
      </w:r>
    </w:p>
    <w:p w14:paraId="63F278A5" w14:textId="0C370380" w:rsidR="00AB3FC0" w:rsidRPr="00EE1912" w:rsidRDefault="00F34DC0" w:rsidP="001E60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>The Annual General Meeting of Shareholders 2024 of IDICO Investment Consultancy JSC assign</w:t>
      </w:r>
      <w:r w:rsidR="00EE1912" w:rsidRPr="00EE1912">
        <w:rPr>
          <w:rFonts w:ascii="Arial" w:hAnsi="Arial" w:cs="Arial"/>
          <w:sz w:val="20"/>
        </w:rPr>
        <w:t>s</w:t>
      </w:r>
      <w:r w:rsidRPr="00EE1912">
        <w:rPr>
          <w:rFonts w:ascii="Arial" w:hAnsi="Arial" w:cs="Arial"/>
          <w:sz w:val="20"/>
        </w:rPr>
        <w:t xml:space="preserve"> the Board of Directors to implement and monitor the Executive Board</w:t>
      </w:r>
      <w:r w:rsidR="00EE1912" w:rsidRPr="00EE1912">
        <w:rPr>
          <w:rFonts w:ascii="Arial" w:hAnsi="Arial" w:cs="Arial"/>
          <w:sz w:val="20"/>
        </w:rPr>
        <w:t xml:space="preserve"> in</w:t>
      </w:r>
      <w:r w:rsidRPr="00EE1912">
        <w:rPr>
          <w:rFonts w:ascii="Arial" w:hAnsi="Arial" w:cs="Arial"/>
          <w:sz w:val="20"/>
        </w:rPr>
        <w:t xml:space="preserve"> implementing the General Mandate to ensure benefits of the </w:t>
      </w:r>
      <w:r w:rsidR="00EE1912" w:rsidRPr="00EE1912">
        <w:rPr>
          <w:rFonts w:ascii="Arial" w:hAnsi="Arial" w:cs="Arial"/>
          <w:sz w:val="20"/>
        </w:rPr>
        <w:t>s</w:t>
      </w:r>
      <w:r w:rsidRPr="00EE1912">
        <w:rPr>
          <w:rFonts w:ascii="Arial" w:hAnsi="Arial" w:cs="Arial"/>
          <w:sz w:val="20"/>
        </w:rPr>
        <w:t>hareholders and the business as per Law.</w:t>
      </w:r>
    </w:p>
    <w:p w14:paraId="680B47BA" w14:textId="286082A3" w:rsidR="00AB3FC0" w:rsidRPr="00EE1912" w:rsidRDefault="00F34DC0" w:rsidP="00ED24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1912">
        <w:rPr>
          <w:rFonts w:ascii="Arial" w:hAnsi="Arial" w:cs="Arial"/>
          <w:sz w:val="20"/>
        </w:rPr>
        <w:t xml:space="preserve">This General Mandate, consisting of 03 pages, </w:t>
      </w:r>
      <w:r w:rsidR="00EE1912" w:rsidRPr="00EE1912">
        <w:rPr>
          <w:rFonts w:ascii="Arial" w:hAnsi="Arial" w:cs="Arial"/>
          <w:sz w:val="20"/>
        </w:rPr>
        <w:t>is</w:t>
      </w:r>
      <w:r w:rsidRPr="00EE1912">
        <w:rPr>
          <w:rFonts w:ascii="Arial" w:hAnsi="Arial" w:cs="Arial"/>
          <w:sz w:val="20"/>
        </w:rPr>
        <w:t xml:space="preserve"> established and approved at the Annual General Meeting of Shareholders 2024 of IDICO Investment Consultancy JSC on April 24,</w:t>
      </w:r>
      <w:r w:rsidR="00EE1912" w:rsidRPr="00EE1912">
        <w:rPr>
          <w:rFonts w:ascii="Arial" w:hAnsi="Arial" w:cs="Arial"/>
          <w:sz w:val="20"/>
        </w:rPr>
        <w:t xml:space="preserve"> </w:t>
      </w:r>
      <w:r w:rsidRPr="00EE1912">
        <w:rPr>
          <w:rFonts w:ascii="Arial" w:hAnsi="Arial" w:cs="Arial"/>
          <w:sz w:val="20"/>
        </w:rPr>
        <w:t xml:space="preserve">and </w:t>
      </w:r>
      <w:r w:rsidR="00EE1912" w:rsidRPr="00EE1912">
        <w:rPr>
          <w:rFonts w:ascii="Arial" w:hAnsi="Arial" w:cs="Arial"/>
          <w:sz w:val="20"/>
        </w:rPr>
        <w:t>is</w:t>
      </w:r>
      <w:r w:rsidRPr="00EE1912">
        <w:rPr>
          <w:rFonts w:ascii="Arial" w:hAnsi="Arial" w:cs="Arial"/>
          <w:sz w:val="20"/>
        </w:rPr>
        <w:t xml:space="preserve"> posted on the website: </w:t>
      </w:r>
      <w:r w:rsidR="00EE1912" w:rsidRPr="00EE1912">
        <w:rPr>
          <w:rFonts w:ascii="Arial" w:hAnsi="Arial" w:cs="Arial"/>
          <w:sz w:val="20"/>
        </w:rPr>
        <w:t>w</w:t>
      </w:r>
      <w:r w:rsidRPr="00EE1912">
        <w:rPr>
          <w:rFonts w:ascii="Arial" w:hAnsi="Arial" w:cs="Arial"/>
          <w:sz w:val="20"/>
        </w:rPr>
        <w:t>ww.idico-incon.com.vn for the shareholders and investors.</w:t>
      </w:r>
    </w:p>
    <w:sectPr w:rsidR="00AB3FC0" w:rsidRPr="00EE1912" w:rsidSect="006F4B71">
      <w:pgSz w:w="11900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2F80"/>
    <w:multiLevelType w:val="multilevel"/>
    <w:tmpl w:val="574206F6"/>
    <w:lvl w:ilvl="0">
      <w:start w:val="1"/>
      <w:numFmt w:val="decimal"/>
      <w:lvlText w:val="3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15940D4"/>
    <w:multiLevelType w:val="multilevel"/>
    <w:tmpl w:val="883AA6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7C801E6"/>
    <w:multiLevelType w:val="multilevel"/>
    <w:tmpl w:val="210644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C0B22"/>
    <w:multiLevelType w:val="multilevel"/>
    <w:tmpl w:val="CFBE2F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C0"/>
    <w:rsid w:val="001E60B3"/>
    <w:rsid w:val="006F4B71"/>
    <w:rsid w:val="00AB3FC0"/>
    <w:rsid w:val="00ED2467"/>
    <w:rsid w:val="00EE1912"/>
    <w:rsid w:val="00F3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CDE20"/>
  <w15:docId w15:val="{FAD9FC96-B6E6-482F-860A-A9E603FA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85E79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85E79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85E79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/>
      <w:bCs/>
      <w:i w:val="0"/>
      <w:iCs w:val="0"/>
      <w:smallCaps w:val="0"/>
      <w:strike w:val="0"/>
      <w:color w:val="D85E79"/>
      <w:sz w:val="17"/>
      <w:szCs w:val="17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319" w:lineRule="auto"/>
    </w:pPr>
    <w:rPr>
      <w:rFonts w:ascii="Arial" w:eastAsia="Arial" w:hAnsi="Arial" w:cs="Arial"/>
      <w:b/>
      <w:bCs/>
      <w:color w:val="D85E79"/>
      <w:sz w:val="17"/>
      <w:szCs w:val="17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D85E79"/>
      <w:sz w:val="28"/>
      <w:szCs w:val="28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D85E79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4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4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76" w:lineRule="auto"/>
      <w:ind w:firstLine="56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7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59" w:lineRule="auto"/>
      <w:ind w:firstLine="5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ofcontents0">
    <w:name w:val="Table of contents"/>
    <w:basedOn w:val="Normal"/>
    <w:link w:val="Tableofcontents"/>
    <w:pPr>
      <w:spacing w:after="310" w:line="199" w:lineRule="auto"/>
      <w:ind w:left="2840"/>
    </w:pPr>
    <w:rPr>
      <w:rFonts w:ascii="Arial" w:eastAsia="Arial" w:hAnsi="Arial" w:cs="Arial"/>
      <w:b/>
      <w:bCs/>
      <w:color w:val="D85E79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FFhtwK3A70odNqVHzF/Ih4JWUA==">CgMxLjAyCGguZ2pkZ3hzOAByITFSQ2dDUmZGZWFXWHliOFBiWWVpUmRnZ3kxdTNHRDZqMw==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2024-05-03T01:36:00Z</dcterms:created>
  <dcterms:modified xsi:type="dcterms:W3CDTF">2024-05-04T03:19:00Z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a94f8e4ad776690b7f12b430edd7229349ddec84872d61af967bebf0fe1374a7</vt:lpwstr>
  </property>
</Properties>
</file>