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A50B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21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2469">
        <w:rPr>
          <w:rFonts w:ascii="Arial" w:hAnsi="Arial" w:cs="Arial"/>
          <w:b/>
          <w:color w:val="010000"/>
          <w:sz w:val="20"/>
        </w:rPr>
        <w:t>IRC: Annual General Mandate 2024</w:t>
      </w:r>
    </w:p>
    <w:p w14:paraId="0BC6860B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On April 25, 2024, Industrial Rubber JSC announced General Mandate No. 153/NQ-DHDCD as follows:</w:t>
      </w:r>
    </w:p>
    <w:p w14:paraId="5A110EF7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Article 1: The Meeting unanimously approved the following contents:</w:t>
      </w:r>
      <w:r w:rsidRPr="005B2469">
        <w:rPr>
          <w:rFonts w:ascii="Arial" w:hAnsi="Arial" w:cs="Arial"/>
          <w:color w:val="010000"/>
          <w:sz w:val="20"/>
        </w:rPr>
        <w:tab/>
      </w:r>
    </w:p>
    <w:p w14:paraId="5B77F1B2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1: Approve the Report of the Board of Directors on Governance and business results in 2023, business direction in 2024 with the following main targets:</w:t>
      </w:r>
    </w:p>
    <w:p w14:paraId="23801CF2" w14:textId="77777777" w:rsidR="00AB1307" w:rsidRPr="005B2469" w:rsidRDefault="005B2469" w:rsidP="005B24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Business results of 2023:</w:t>
      </w:r>
    </w:p>
    <w:p w14:paraId="04E33D3E" w14:textId="77777777" w:rsidR="00AB1307" w:rsidRPr="005B2469" w:rsidRDefault="005B2469" w:rsidP="005B2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Total revenue: VND 48,905 million</w:t>
      </w:r>
    </w:p>
    <w:p w14:paraId="1CB13863" w14:textId="77777777" w:rsidR="00AB1307" w:rsidRPr="005B2469" w:rsidRDefault="005B2469" w:rsidP="005B2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Profit after tax: VND 6,439 million</w:t>
      </w:r>
    </w:p>
    <w:p w14:paraId="55CCDEAB" w14:textId="77777777" w:rsidR="00AB1307" w:rsidRPr="005B2469" w:rsidRDefault="005B2469" w:rsidP="005B24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Expected business plan for 2024:</w:t>
      </w:r>
    </w:p>
    <w:p w14:paraId="2F872282" w14:textId="77777777" w:rsidR="00AB1307" w:rsidRPr="005B2469" w:rsidRDefault="005B2469" w:rsidP="005B2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Total revenue: VND 45,012 million</w:t>
      </w:r>
    </w:p>
    <w:p w14:paraId="6E43ADA4" w14:textId="77777777" w:rsidR="00AB1307" w:rsidRPr="005B2469" w:rsidRDefault="005B2469" w:rsidP="005B2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Profit after tax: VND 6,000 million</w:t>
      </w:r>
    </w:p>
    <w:p w14:paraId="3569534E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2: Approve the Report of the Supervisory Board on the implementation of tasks in 2023 and mission directions for 2024.</w:t>
      </w:r>
    </w:p>
    <w:p w14:paraId="24ADB260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3: Approve the Audited Financial Statements 2023.</w:t>
      </w:r>
    </w:p>
    <w:p w14:paraId="36A0DAF4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4: Approve the Proposal on selecting an audit company for the Financial Statements 2024.</w:t>
      </w:r>
    </w:p>
    <w:p w14:paraId="53FC8075" w14:textId="6C5A7E19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5: Approve the Proposal on Salary and Remuneratio</w:t>
      </w:r>
      <w:r w:rsidR="006E6BB0">
        <w:rPr>
          <w:rFonts w:ascii="Arial" w:hAnsi="Arial" w:cs="Arial"/>
          <w:color w:val="010000"/>
          <w:sz w:val="20"/>
        </w:rPr>
        <w:t xml:space="preserve">n of the Board of Directors, Supervisory Board and </w:t>
      </w:r>
      <w:r w:rsidRPr="005B2469">
        <w:rPr>
          <w:rFonts w:ascii="Arial" w:hAnsi="Arial" w:cs="Arial"/>
          <w:color w:val="010000"/>
          <w:sz w:val="20"/>
        </w:rPr>
        <w:t>Executive Board in 2023 and plan for 2024.</w:t>
      </w:r>
    </w:p>
    <w:p w14:paraId="18D8DCBA" w14:textId="2D09266F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Content 6: Approve the Proposal on profit distributio</w:t>
      </w:r>
      <w:r w:rsidR="006E6BB0">
        <w:rPr>
          <w:rFonts w:ascii="Arial" w:hAnsi="Arial" w:cs="Arial"/>
          <w:color w:val="010000"/>
          <w:sz w:val="20"/>
        </w:rPr>
        <w:t>n and dividend payment 2023,</w:t>
      </w:r>
      <w:r w:rsidRPr="005B2469">
        <w:rPr>
          <w:rFonts w:ascii="Arial" w:hAnsi="Arial" w:cs="Arial"/>
          <w:color w:val="010000"/>
          <w:sz w:val="20"/>
        </w:rPr>
        <w:t xml:space="preserve"> profit distribution and dividend payment plan 2024.</w:t>
      </w:r>
    </w:p>
    <w:p w14:paraId="52988557" w14:textId="77777777" w:rsidR="00AB1307" w:rsidRPr="005B2469" w:rsidRDefault="005B2469" w:rsidP="005B24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6.1. Profit distribution and dividend payment in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9"/>
        <w:gridCol w:w="3426"/>
        <w:gridCol w:w="1112"/>
        <w:gridCol w:w="1782"/>
        <w:gridCol w:w="1881"/>
      </w:tblGrid>
      <w:tr w:rsidR="00AB1307" w:rsidRPr="005B2469" w14:paraId="17FF1D44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0362B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AE81C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767DD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8867E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C5754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</w:tr>
      <w:tr w:rsidR="00AB1307" w:rsidRPr="005B2469" w14:paraId="2067FEDD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274F9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E41EF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4409F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FE296" w14:textId="10E0B066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46,400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471A0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48,905</w:t>
            </w:r>
          </w:p>
        </w:tc>
      </w:tr>
      <w:tr w:rsidR="00AB1307" w:rsidRPr="005B2469" w14:paraId="466B2E12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921CD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29430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B9954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60594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7,050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0E55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8,169</w:t>
            </w:r>
          </w:p>
        </w:tc>
      </w:tr>
      <w:tr w:rsidR="00AB1307" w:rsidRPr="005B2469" w14:paraId="4E670FDB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33EDC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F3AFC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6D72B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9961E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5,640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0BC5D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6,439</w:t>
            </w:r>
          </w:p>
        </w:tc>
      </w:tr>
      <w:tr w:rsidR="00AB1307" w:rsidRPr="005B2469" w14:paraId="4C5858FA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816C1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DCDEC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1881D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F8EEA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A5A56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324</w:t>
            </w:r>
          </w:p>
        </w:tc>
      </w:tr>
      <w:tr w:rsidR="00AB1307" w:rsidRPr="005B2469" w14:paraId="1E4F2424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A5073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4.1-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D3F9E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E6359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603BB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*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9F1D4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B1307" w:rsidRPr="005B2469" w14:paraId="3C9DF0CC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A2F8D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F1016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Bonus and welfare fund: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8E9FE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5927B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17763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B1307" w:rsidRPr="005B2469" w14:paraId="018862B9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BA82A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4.3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F15DF" w14:textId="49D5D568" w:rsidR="00AB1307" w:rsidRPr="005B2469" w:rsidRDefault="006E6BB0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Bonus fund for the management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6D1D9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D3066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6863A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324</w:t>
            </w:r>
          </w:p>
        </w:tc>
      </w:tr>
      <w:tr w:rsidR="00AB1307" w:rsidRPr="005B2469" w14:paraId="45A7EF1E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00C3A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1EFAC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Profit after tax remaining after appropriation for funds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4A6A6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A103D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DB725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6,143</w:t>
            </w:r>
          </w:p>
        </w:tc>
      </w:tr>
      <w:tr w:rsidR="00AB1307" w:rsidRPr="005B2469" w14:paraId="5373E1A4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D223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5.1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6B3C1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Profit after tax of the previous year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AE52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5F4B1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8F6E0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</w:tr>
      <w:tr w:rsidR="00AB1307" w:rsidRPr="005B2469" w14:paraId="5C2AE4C0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42A7F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lastRenderedPageBreak/>
              <w:t>5.2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EFC69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Profit after tax this year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643C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2F80B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2942B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6,115</w:t>
            </w:r>
          </w:p>
        </w:tc>
      </w:tr>
      <w:tr w:rsidR="00AB1307" w:rsidRPr="005B2469" w14:paraId="2FFDE2EF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67D40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008D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Dividend payment of 2023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02567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7BF94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D5E78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3.5</w:t>
            </w:r>
          </w:p>
        </w:tc>
      </w:tr>
      <w:tr w:rsidR="00AB1307" w:rsidRPr="005B2469" w14:paraId="035D9D58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7AD49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FA7C7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Number of outstanding shares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46A76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Share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523BC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8A84E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17,500,000</w:t>
            </w:r>
          </w:p>
        </w:tc>
      </w:tr>
      <w:tr w:rsidR="00AB1307" w:rsidRPr="005B2469" w14:paraId="772FB5BA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9E6C0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62CEB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Dividend payment amount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5ECB2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61A6A" w14:textId="77777777" w:rsidR="00AB1307" w:rsidRPr="005B2469" w:rsidRDefault="00AB1307" w:rsidP="005B2469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045BA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6,125</w:t>
            </w:r>
          </w:p>
        </w:tc>
      </w:tr>
      <w:tr w:rsidR="00AB1307" w:rsidRPr="005B2469" w14:paraId="56AEF0CF" w14:textId="77777777" w:rsidTr="005B2469"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B9382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6D4A4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Remaining profit after dividend payment</w:t>
            </w: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87F81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04F3B" w14:textId="77777777" w:rsidR="00AB1307" w:rsidRPr="005B2469" w:rsidRDefault="00AB1307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C5C54" w14:textId="77777777" w:rsidR="00AB1307" w:rsidRPr="005B2469" w:rsidRDefault="005B2469" w:rsidP="005B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2469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</w:tr>
    </w:tbl>
    <w:p w14:paraId="10591D6D" w14:textId="77777777" w:rsidR="00AB1307" w:rsidRPr="005B2469" w:rsidRDefault="005B2469" w:rsidP="006E6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Record date for list of shareholders for dividend payment: July 26, 2024</w:t>
      </w:r>
    </w:p>
    <w:p w14:paraId="45CAAB79" w14:textId="77777777" w:rsidR="00AB1307" w:rsidRPr="005B2469" w:rsidRDefault="005B2469" w:rsidP="006E6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Dividend payment date: August 15, 2024</w:t>
      </w:r>
    </w:p>
    <w:p w14:paraId="0B2128BC" w14:textId="77777777" w:rsidR="00AB1307" w:rsidRPr="005B2469" w:rsidRDefault="005B2469" w:rsidP="006E6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The Company's General Meeting of Shareholders authorized the Board of Directors to carry out relevant procedures according to regulations to pay dividends 2023 to shareholders.</w:t>
      </w:r>
    </w:p>
    <w:p w14:paraId="12247DBB" w14:textId="77777777" w:rsidR="00AB1307" w:rsidRPr="005B2469" w:rsidRDefault="005B2469" w:rsidP="006E6B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6.2. Plan on profit distribution and dividend payment in 2024:</w:t>
      </w:r>
    </w:p>
    <w:p w14:paraId="1CF822B6" w14:textId="77777777" w:rsidR="00AB1307" w:rsidRPr="005B2469" w:rsidRDefault="005B2469" w:rsidP="006E6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Profit distribution in 2024</w:t>
      </w:r>
    </w:p>
    <w:p w14:paraId="7658674C" w14:textId="77777777" w:rsidR="00AB1307" w:rsidRPr="005B2469" w:rsidRDefault="005B2469" w:rsidP="006E6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Investment and development fund: No appropriation</w:t>
      </w:r>
    </w:p>
    <w:p w14:paraId="387FBDE1" w14:textId="428BC9B2" w:rsidR="00AB1307" w:rsidRPr="005B2469" w:rsidRDefault="005B2469" w:rsidP="006E6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9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The bonus and welfare fund is implemented according to Decree No. 53/2016/ND-CP dated June 13, 2016 of the Government, Circular No. 28/2016/TT-BL</w:t>
      </w:r>
      <w:r w:rsidR="006E6BB0">
        <w:rPr>
          <w:rFonts w:ascii="Arial" w:hAnsi="Arial" w:cs="Arial"/>
          <w:color w:val="010000"/>
          <w:sz w:val="20"/>
        </w:rPr>
        <w:t>DTBXH dated September 1, 2016 by</w:t>
      </w:r>
      <w:r w:rsidRPr="005B2469">
        <w:rPr>
          <w:rFonts w:ascii="Arial" w:hAnsi="Arial" w:cs="Arial"/>
          <w:color w:val="010000"/>
          <w:sz w:val="20"/>
        </w:rPr>
        <w:t xml:space="preserve"> the Ministry of Labor, War Invalids and Social Affairs and relevant legal documents.</w:t>
      </w:r>
    </w:p>
    <w:p w14:paraId="17A4308A" w14:textId="77777777" w:rsidR="00AB1307" w:rsidRPr="005B2469" w:rsidRDefault="005B2469" w:rsidP="006E6B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B1307" w:rsidRPr="005B2469" w:rsidSect="005B2469">
          <w:pgSz w:w="11900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B2469">
        <w:rPr>
          <w:rFonts w:ascii="Arial" w:hAnsi="Arial" w:cs="Arial"/>
          <w:color w:val="010000"/>
          <w:sz w:val="20"/>
        </w:rPr>
        <w:t>Dividend payment of 2024: Pay all remaining profit after tax after appropriation for funds.</w:t>
      </w:r>
    </w:p>
    <w:p w14:paraId="10E6E2C5" w14:textId="77777777" w:rsidR="00AB1307" w:rsidRPr="005B2469" w:rsidRDefault="005B2469" w:rsidP="006E6B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lastRenderedPageBreak/>
        <w:t>Article 2: Terms of enforcement</w:t>
      </w:r>
    </w:p>
    <w:p w14:paraId="049661BB" w14:textId="227E2010" w:rsidR="00AB1307" w:rsidRPr="005B2469" w:rsidRDefault="005B2469" w:rsidP="006E6B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2469">
        <w:rPr>
          <w:rFonts w:ascii="Arial" w:hAnsi="Arial" w:cs="Arial"/>
          <w:color w:val="010000"/>
          <w:sz w:val="20"/>
        </w:rPr>
        <w:t>The Meeting agreed to as</w:t>
      </w:r>
      <w:r w:rsidR="006E6BB0">
        <w:rPr>
          <w:rFonts w:ascii="Arial" w:hAnsi="Arial" w:cs="Arial"/>
          <w:color w:val="010000"/>
          <w:sz w:val="20"/>
        </w:rPr>
        <w:t>sign the Board of Directors, Supervisory Board and</w:t>
      </w:r>
      <w:r w:rsidRPr="005B2469">
        <w:rPr>
          <w:rFonts w:ascii="Arial" w:hAnsi="Arial" w:cs="Arial"/>
          <w:color w:val="010000"/>
          <w:sz w:val="20"/>
        </w:rPr>
        <w:t xml:space="preserve"> Executive Board to be responsible for organizing, directing and implementing the contents approved by the Annual General Meeting of Shareholders 2024 on the basis of compl</w:t>
      </w:r>
      <w:r w:rsidR="006E6BB0">
        <w:rPr>
          <w:rFonts w:ascii="Arial" w:hAnsi="Arial" w:cs="Arial"/>
          <w:color w:val="010000"/>
          <w:sz w:val="20"/>
        </w:rPr>
        <w:t>y</w:t>
      </w:r>
      <w:r w:rsidRPr="005B2469">
        <w:rPr>
          <w:rFonts w:ascii="Arial" w:hAnsi="Arial" w:cs="Arial"/>
          <w:color w:val="010000"/>
          <w:sz w:val="20"/>
        </w:rPr>
        <w:t xml:space="preserve">ing with </w:t>
      </w:r>
      <w:bookmarkStart w:id="0" w:name="_GoBack"/>
      <w:bookmarkEnd w:id="0"/>
      <w:r w:rsidRPr="005B2469">
        <w:rPr>
          <w:rFonts w:ascii="Arial" w:hAnsi="Arial" w:cs="Arial"/>
          <w:color w:val="010000"/>
          <w:sz w:val="20"/>
        </w:rPr>
        <w:t>regulations and laws and the Charter of Industrial Rubber JSC.</w:t>
      </w:r>
    </w:p>
    <w:p w14:paraId="18300553" w14:textId="77777777" w:rsidR="00AB1307" w:rsidRPr="005B2469" w:rsidRDefault="005B2469" w:rsidP="006E6B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B1307" w:rsidRPr="005B2469" w:rsidSect="005B2469">
          <w:type w:val="continuous"/>
          <w:pgSz w:w="11900" w:h="16840"/>
          <w:pgMar w:top="1440" w:right="1440" w:bottom="1440" w:left="1440" w:header="0" w:footer="0" w:gutter="0"/>
          <w:cols w:space="720"/>
          <w:docGrid w:linePitch="326"/>
        </w:sectPr>
      </w:pPr>
      <w:r w:rsidRPr="005B2469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0548F216" w14:textId="77777777" w:rsidR="00AB1307" w:rsidRPr="005B2469" w:rsidRDefault="00AB1307" w:rsidP="006E6B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AB1307" w:rsidRPr="005B2469" w:rsidSect="005B2469">
      <w:type w:val="continuous"/>
      <w:pgSz w:w="11900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01C"/>
    <w:multiLevelType w:val="multilevel"/>
    <w:tmpl w:val="2C3A3C9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C2D84"/>
    <w:multiLevelType w:val="multilevel"/>
    <w:tmpl w:val="9BE65D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0A1C41"/>
    <w:multiLevelType w:val="hybridMultilevel"/>
    <w:tmpl w:val="5EE4D94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416F"/>
    <w:multiLevelType w:val="multilevel"/>
    <w:tmpl w:val="47DAFF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7"/>
    <w:rsid w:val="005B2469"/>
    <w:rsid w:val="006E6BB0"/>
    <w:rsid w:val="00A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6C00"/>
  <w15:docId w15:val="{4B94C6F1-F15E-49B3-BFC5-EADF395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EB6D89"/>
      <w:w w:val="8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EB6D89"/>
      <w:sz w:val="16"/>
      <w:szCs w:val="16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EB6D89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70" w:line="322" w:lineRule="auto"/>
      <w:ind w:left="2280" w:firstLine="10"/>
    </w:pPr>
    <w:rPr>
      <w:rFonts w:ascii="Cambria" w:eastAsia="Cambria" w:hAnsi="Cambria" w:cs="Cambria"/>
      <w:color w:val="EB6D89"/>
      <w:w w:val="80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after="140"/>
    </w:pPr>
    <w:rPr>
      <w:rFonts w:ascii="Arial" w:eastAsia="Arial" w:hAnsi="Arial" w:cs="Arial"/>
      <w:color w:val="EB6D89"/>
      <w:sz w:val="16"/>
      <w:szCs w:val="16"/>
    </w:rPr>
  </w:style>
  <w:style w:type="paragraph" w:customStyle="1" w:styleId="Bodytext70">
    <w:name w:val="Body text (7)"/>
    <w:basedOn w:val="Normal"/>
    <w:link w:val="Bodytext7"/>
    <w:pPr>
      <w:spacing w:after="80"/>
      <w:jc w:val="right"/>
    </w:pPr>
    <w:rPr>
      <w:rFonts w:ascii="Arial" w:eastAsia="Arial" w:hAnsi="Arial" w:cs="Arial"/>
      <w:color w:val="EB6D89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5B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2b3IadeG44s9WTOs+TDkAGs5nQ==">CgMxLjAyCGguZ2pkZ3hzOAByITFycFBESDRvZ2o0cW1RNHdHdEN0ZXNWU1BFRzNpX1luSw==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2024-05-04T03:26:00Z</dcterms:created>
  <dcterms:modified xsi:type="dcterms:W3CDTF">2024-05-04T03:26:00Z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1baa728a6cdbd715ef0c2ef64704918376a80d0df28c2f68d9f4c5e487195e64</vt:lpwstr>
  </property>
</Properties>
</file>