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7CDA"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Pr>
          <w:rFonts w:ascii="Arial" w:hAnsi="Arial"/>
          <w:b/>
          <w:color w:val="010000"/>
          <w:sz w:val="20"/>
        </w:rPr>
        <w:t>ISH: Annual General Mandate 2024</w:t>
      </w:r>
    </w:p>
    <w:p w14:paraId="22299B14"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2023, IDICO </w:t>
      </w:r>
      <w:proofErr w:type="spellStart"/>
      <w:r>
        <w:rPr>
          <w:rFonts w:ascii="Arial" w:hAnsi="Arial"/>
          <w:color w:val="010000"/>
          <w:sz w:val="20"/>
        </w:rPr>
        <w:t>Srok</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Hydropower Joint Stock Company announced General Mandate No. 01/NQ-DHDCD as follows:</w:t>
      </w:r>
    </w:p>
    <w:p w14:paraId="312F069D"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‎‎Article 1. Approve the Reports and Proposals submitted to the General Meeting of Shareholders, including:</w:t>
      </w:r>
    </w:p>
    <w:p w14:paraId="741D7F49" w14:textId="77777777" w:rsidR="00FB53E4" w:rsidRDefault="00FB6020" w:rsidP="007F771C">
      <w:pPr>
        <w:numPr>
          <w:ilvl w:val="0"/>
          <w:numId w:val="11"/>
        </w:numPr>
        <w:pBdr>
          <w:top w:val="nil"/>
          <w:left w:val="nil"/>
          <w:bottom w:val="nil"/>
          <w:right w:val="nil"/>
          <w:between w:val="nil"/>
        </w:pBdr>
        <w:tabs>
          <w:tab w:val="left" w:pos="450"/>
          <w:tab w:val="left" w:pos="963"/>
        </w:tabs>
        <w:spacing w:after="120" w:line="360" w:lineRule="auto"/>
        <w:jc w:val="both"/>
        <w:rPr>
          <w:color w:val="010000"/>
          <w:sz w:val="20"/>
          <w:szCs w:val="20"/>
        </w:rPr>
      </w:pPr>
      <w:r>
        <w:rPr>
          <w:rFonts w:ascii="Arial" w:hAnsi="Arial"/>
          <w:color w:val="010000"/>
          <w:sz w:val="20"/>
        </w:rPr>
        <w:t>Report on the production, business and investment result in 2023 and the plan for 2024 of the Board of Managers of the Company, including the following main targets:</w:t>
      </w:r>
    </w:p>
    <w:p w14:paraId="2AA913F3" w14:textId="77777777" w:rsidR="00FB53E4" w:rsidRDefault="00FB6020">
      <w:pPr>
        <w:numPr>
          <w:ilvl w:val="1"/>
          <w:numId w:val="6"/>
        </w:numPr>
        <w:pBdr>
          <w:top w:val="nil"/>
          <w:left w:val="nil"/>
          <w:bottom w:val="nil"/>
          <w:right w:val="nil"/>
          <w:between w:val="nil"/>
        </w:pBdr>
        <w:tabs>
          <w:tab w:val="left" w:pos="450"/>
          <w:tab w:val="left" w:pos="963"/>
        </w:tabs>
        <w:spacing w:after="120" w:line="360" w:lineRule="auto"/>
        <w:ind w:left="0" w:firstLine="0"/>
        <w:rPr>
          <w:rFonts w:ascii="Arial" w:eastAsia="Arial" w:hAnsi="Arial" w:cs="Arial"/>
          <w:color w:val="010000"/>
          <w:sz w:val="20"/>
          <w:szCs w:val="20"/>
        </w:rPr>
      </w:pPr>
      <w:r>
        <w:rPr>
          <w:rFonts w:ascii="Arial" w:hAnsi="Arial"/>
          <w:color w:val="010000"/>
          <w:sz w:val="20"/>
        </w:rPr>
        <w:t>Results of the Production and Business Targets in 2023</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968"/>
        <w:gridCol w:w="900"/>
        <w:gridCol w:w="1169"/>
        <w:gridCol w:w="1259"/>
        <w:gridCol w:w="990"/>
        <w:gridCol w:w="1196"/>
      </w:tblGrid>
      <w:tr w:rsidR="00FB53E4" w14:paraId="0C8B4F04" w14:textId="77777777">
        <w:tc>
          <w:tcPr>
            <w:tcW w:w="535" w:type="dxa"/>
            <w:vMerge w:val="restart"/>
            <w:shd w:val="clear" w:color="auto" w:fill="auto"/>
            <w:tcMar>
              <w:top w:w="0" w:type="dxa"/>
              <w:bottom w:w="0" w:type="dxa"/>
            </w:tcMar>
            <w:vAlign w:val="center"/>
          </w:tcPr>
          <w:p w14:paraId="336F11A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968" w:type="dxa"/>
            <w:vMerge w:val="restart"/>
            <w:shd w:val="clear" w:color="auto" w:fill="auto"/>
            <w:tcMar>
              <w:top w:w="0" w:type="dxa"/>
              <w:bottom w:w="0" w:type="dxa"/>
            </w:tcMar>
            <w:vAlign w:val="center"/>
          </w:tcPr>
          <w:p w14:paraId="47049B8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Main targets</w:t>
            </w:r>
          </w:p>
        </w:tc>
        <w:tc>
          <w:tcPr>
            <w:tcW w:w="900" w:type="dxa"/>
            <w:vMerge w:val="restart"/>
            <w:shd w:val="clear" w:color="auto" w:fill="auto"/>
            <w:tcMar>
              <w:top w:w="0" w:type="dxa"/>
              <w:bottom w:w="0" w:type="dxa"/>
            </w:tcMar>
            <w:vAlign w:val="center"/>
          </w:tcPr>
          <w:p w14:paraId="16CFEA9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Unit</w:t>
            </w:r>
          </w:p>
        </w:tc>
        <w:tc>
          <w:tcPr>
            <w:tcW w:w="1169" w:type="dxa"/>
            <w:vMerge w:val="restart"/>
            <w:shd w:val="clear" w:color="auto" w:fill="auto"/>
            <w:tcMar>
              <w:top w:w="0" w:type="dxa"/>
              <w:bottom w:w="0" w:type="dxa"/>
            </w:tcMar>
            <w:vAlign w:val="center"/>
          </w:tcPr>
          <w:p w14:paraId="4167FE3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2023 Plan </w:t>
            </w:r>
          </w:p>
        </w:tc>
        <w:tc>
          <w:tcPr>
            <w:tcW w:w="1259" w:type="dxa"/>
            <w:vMerge w:val="restart"/>
            <w:shd w:val="clear" w:color="auto" w:fill="auto"/>
            <w:tcMar>
              <w:top w:w="0" w:type="dxa"/>
              <w:bottom w:w="0" w:type="dxa"/>
            </w:tcMar>
            <w:vAlign w:val="center"/>
          </w:tcPr>
          <w:p w14:paraId="4D918AB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w:t>
            </w:r>
          </w:p>
        </w:tc>
        <w:tc>
          <w:tcPr>
            <w:tcW w:w="2186" w:type="dxa"/>
            <w:gridSpan w:val="2"/>
            <w:shd w:val="clear" w:color="auto" w:fill="auto"/>
            <w:tcMar>
              <w:top w:w="0" w:type="dxa"/>
              <w:bottom w:w="0" w:type="dxa"/>
            </w:tcMar>
            <w:vAlign w:val="center"/>
          </w:tcPr>
          <w:p w14:paraId="63840B9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Comparison (%)</w:t>
            </w:r>
          </w:p>
          <w:p w14:paraId="5BBD69A9"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 to</w:t>
            </w:r>
          </w:p>
        </w:tc>
      </w:tr>
      <w:tr w:rsidR="00FB53E4" w14:paraId="224D82EE" w14:textId="77777777">
        <w:tc>
          <w:tcPr>
            <w:tcW w:w="535" w:type="dxa"/>
            <w:vMerge/>
            <w:shd w:val="clear" w:color="auto" w:fill="auto"/>
            <w:tcMar>
              <w:top w:w="0" w:type="dxa"/>
              <w:bottom w:w="0" w:type="dxa"/>
            </w:tcMar>
            <w:vAlign w:val="center"/>
          </w:tcPr>
          <w:p w14:paraId="5762FF07" w14:textId="77777777" w:rsidR="00FB53E4" w:rsidRDefault="00FB53E4">
            <w:pPr>
              <w:pBdr>
                <w:top w:val="nil"/>
                <w:left w:val="nil"/>
                <w:bottom w:val="nil"/>
                <w:right w:val="nil"/>
                <w:between w:val="nil"/>
              </w:pBdr>
              <w:spacing w:line="276" w:lineRule="auto"/>
              <w:rPr>
                <w:rFonts w:ascii="Arial" w:eastAsia="Arial" w:hAnsi="Arial" w:cs="Arial"/>
                <w:color w:val="010000"/>
                <w:sz w:val="20"/>
                <w:szCs w:val="20"/>
              </w:rPr>
            </w:pPr>
          </w:p>
        </w:tc>
        <w:tc>
          <w:tcPr>
            <w:tcW w:w="2968" w:type="dxa"/>
            <w:vMerge/>
            <w:shd w:val="clear" w:color="auto" w:fill="auto"/>
            <w:tcMar>
              <w:top w:w="0" w:type="dxa"/>
              <w:bottom w:w="0" w:type="dxa"/>
            </w:tcMar>
            <w:vAlign w:val="center"/>
          </w:tcPr>
          <w:p w14:paraId="0BDEA0B0" w14:textId="77777777" w:rsidR="00FB53E4" w:rsidRDefault="00FB53E4">
            <w:pPr>
              <w:pBdr>
                <w:top w:val="nil"/>
                <w:left w:val="nil"/>
                <w:bottom w:val="nil"/>
                <w:right w:val="nil"/>
                <w:between w:val="nil"/>
              </w:pBdr>
              <w:spacing w:line="276" w:lineRule="auto"/>
              <w:rPr>
                <w:rFonts w:ascii="Arial" w:eastAsia="Arial" w:hAnsi="Arial" w:cs="Arial"/>
                <w:color w:val="010000"/>
                <w:sz w:val="20"/>
                <w:szCs w:val="20"/>
              </w:rPr>
            </w:pPr>
          </w:p>
        </w:tc>
        <w:tc>
          <w:tcPr>
            <w:tcW w:w="900" w:type="dxa"/>
            <w:vMerge/>
            <w:shd w:val="clear" w:color="auto" w:fill="auto"/>
            <w:tcMar>
              <w:top w:w="0" w:type="dxa"/>
              <w:bottom w:w="0" w:type="dxa"/>
            </w:tcMar>
            <w:vAlign w:val="center"/>
          </w:tcPr>
          <w:p w14:paraId="76C73E0D" w14:textId="77777777" w:rsidR="00FB53E4" w:rsidRDefault="00FB53E4">
            <w:pPr>
              <w:pBdr>
                <w:top w:val="nil"/>
                <w:left w:val="nil"/>
                <w:bottom w:val="nil"/>
                <w:right w:val="nil"/>
                <w:between w:val="nil"/>
              </w:pBdr>
              <w:spacing w:line="276" w:lineRule="auto"/>
              <w:rPr>
                <w:rFonts w:ascii="Arial" w:eastAsia="Arial" w:hAnsi="Arial" w:cs="Arial"/>
                <w:color w:val="010000"/>
                <w:sz w:val="20"/>
                <w:szCs w:val="20"/>
              </w:rPr>
            </w:pPr>
          </w:p>
        </w:tc>
        <w:tc>
          <w:tcPr>
            <w:tcW w:w="1169" w:type="dxa"/>
            <w:vMerge/>
            <w:shd w:val="clear" w:color="auto" w:fill="auto"/>
            <w:tcMar>
              <w:top w:w="0" w:type="dxa"/>
              <w:bottom w:w="0" w:type="dxa"/>
            </w:tcMar>
            <w:vAlign w:val="center"/>
          </w:tcPr>
          <w:p w14:paraId="54A468D0" w14:textId="77777777" w:rsidR="00FB53E4" w:rsidRDefault="00FB53E4">
            <w:pPr>
              <w:pBdr>
                <w:top w:val="nil"/>
                <w:left w:val="nil"/>
                <w:bottom w:val="nil"/>
                <w:right w:val="nil"/>
                <w:between w:val="nil"/>
              </w:pBdr>
              <w:spacing w:line="276" w:lineRule="auto"/>
              <w:rPr>
                <w:rFonts w:ascii="Arial" w:eastAsia="Arial" w:hAnsi="Arial" w:cs="Arial"/>
                <w:color w:val="010000"/>
                <w:sz w:val="20"/>
                <w:szCs w:val="20"/>
              </w:rPr>
            </w:pPr>
          </w:p>
        </w:tc>
        <w:tc>
          <w:tcPr>
            <w:tcW w:w="1259" w:type="dxa"/>
            <w:vMerge/>
            <w:shd w:val="clear" w:color="auto" w:fill="auto"/>
            <w:tcMar>
              <w:top w:w="0" w:type="dxa"/>
              <w:bottom w:w="0" w:type="dxa"/>
            </w:tcMar>
            <w:vAlign w:val="center"/>
          </w:tcPr>
          <w:p w14:paraId="4255E993" w14:textId="77777777" w:rsidR="00FB53E4" w:rsidRDefault="00FB53E4">
            <w:pPr>
              <w:pBdr>
                <w:top w:val="nil"/>
                <w:left w:val="nil"/>
                <w:bottom w:val="nil"/>
                <w:right w:val="nil"/>
                <w:between w:val="nil"/>
              </w:pBdr>
              <w:spacing w:line="276" w:lineRule="auto"/>
              <w:rPr>
                <w:rFonts w:ascii="Arial" w:eastAsia="Arial" w:hAnsi="Arial" w:cs="Arial"/>
                <w:color w:val="010000"/>
                <w:sz w:val="20"/>
                <w:szCs w:val="20"/>
              </w:rPr>
            </w:pPr>
          </w:p>
        </w:tc>
        <w:tc>
          <w:tcPr>
            <w:tcW w:w="990" w:type="dxa"/>
            <w:shd w:val="clear" w:color="auto" w:fill="auto"/>
            <w:tcMar>
              <w:top w:w="0" w:type="dxa"/>
              <w:bottom w:w="0" w:type="dxa"/>
            </w:tcMar>
            <w:vAlign w:val="center"/>
          </w:tcPr>
          <w:p w14:paraId="74EE897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2023 Plan </w:t>
            </w:r>
          </w:p>
        </w:tc>
        <w:tc>
          <w:tcPr>
            <w:tcW w:w="1196" w:type="dxa"/>
            <w:shd w:val="clear" w:color="auto" w:fill="auto"/>
            <w:tcMar>
              <w:top w:w="0" w:type="dxa"/>
              <w:bottom w:w="0" w:type="dxa"/>
            </w:tcMar>
            <w:vAlign w:val="center"/>
          </w:tcPr>
          <w:p w14:paraId="7E1C64A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Same period of 2022</w:t>
            </w:r>
          </w:p>
        </w:tc>
      </w:tr>
      <w:tr w:rsidR="00FB53E4" w14:paraId="3BC1BA40" w14:textId="77777777">
        <w:tc>
          <w:tcPr>
            <w:tcW w:w="535" w:type="dxa"/>
            <w:shd w:val="clear" w:color="auto" w:fill="auto"/>
            <w:tcMar>
              <w:top w:w="0" w:type="dxa"/>
              <w:bottom w:w="0" w:type="dxa"/>
            </w:tcMar>
            <w:vAlign w:val="center"/>
          </w:tcPr>
          <w:p w14:paraId="12A4A37B" w14:textId="77777777" w:rsidR="00FB53E4" w:rsidRDefault="00FB6020">
            <w:pP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968" w:type="dxa"/>
            <w:shd w:val="clear" w:color="auto" w:fill="auto"/>
            <w:tcMar>
              <w:top w:w="0" w:type="dxa"/>
              <w:bottom w:w="0" w:type="dxa"/>
            </w:tcMar>
            <w:vAlign w:val="center"/>
          </w:tcPr>
          <w:p w14:paraId="51204FF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Commercial power output</w:t>
            </w:r>
          </w:p>
        </w:tc>
        <w:tc>
          <w:tcPr>
            <w:tcW w:w="900" w:type="dxa"/>
            <w:shd w:val="clear" w:color="auto" w:fill="auto"/>
            <w:tcMar>
              <w:top w:w="0" w:type="dxa"/>
              <w:bottom w:w="0" w:type="dxa"/>
            </w:tcMar>
            <w:vAlign w:val="center"/>
          </w:tcPr>
          <w:p w14:paraId="5FA7BB79"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kWh</w:t>
            </w:r>
          </w:p>
        </w:tc>
        <w:tc>
          <w:tcPr>
            <w:tcW w:w="1169" w:type="dxa"/>
            <w:shd w:val="clear" w:color="auto" w:fill="auto"/>
            <w:tcMar>
              <w:top w:w="0" w:type="dxa"/>
              <w:bottom w:w="0" w:type="dxa"/>
            </w:tcMar>
            <w:vAlign w:val="center"/>
          </w:tcPr>
          <w:p w14:paraId="40CFF28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235</w:t>
            </w:r>
          </w:p>
        </w:tc>
        <w:tc>
          <w:tcPr>
            <w:tcW w:w="1259" w:type="dxa"/>
            <w:shd w:val="clear" w:color="auto" w:fill="auto"/>
            <w:tcMar>
              <w:top w:w="0" w:type="dxa"/>
              <w:bottom w:w="0" w:type="dxa"/>
            </w:tcMar>
            <w:vAlign w:val="center"/>
          </w:tcPr>
          <w:p w14:paraId="04977877"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254</w:t>
            </w:r>
          </w:p>
        </w:tc>
        <w:tc>
          <w:tcPr>
            <w:tcW w:w="990" w:type="dxa"/>
            <w:shd w:val="clear" w:color="auto" w:fill="auto"/>
            <w:tcMar>
              <w:top w:w="0" w:type="dxa"/>
              <w:bottom w:w="0" w:type="dxa"/>
            </w:tcMar>
            <w:vAlign w:val="center"/>
          </w:tcPr>
          <w:p w14:paraId="41F51DC9"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108%</w:t>
            </w:r>
          </w:p>
        </w:tc>
        <w:tc>
          <w:tcPr>
            <w:tcW w:w="1196" w:type="dxa"/>
            <w:shd w:val="clear" w:color="auto" w:fill="auto"/>
            <w:tcMar>
              <w:top w:w="0" w:type="dxa"/>
              <w:bottom w:w="0" w:type="dxa"/>
            </w:tcMar>
            <w:vAlign w:val="center"/>
          </w:tcPr>
          <w:p w14:paraId="73847677"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90%</w:t>
            </w:r>
          </w:p>
        </w:tc>
      </w:tr>
      <w:tr w:rsidR="00FB53E4" w14:paraId="7D3A759C" w14:textId="77777777">
        <w:tc>
          <w:tcPr>
            <w:tcW w:w="535" w:type="dxa"/>
            <w:shd w:val="clear" w:color="auto" w:fill="auto"/>
            <w:tcMar>
              <w:top w:w="0" w:type="dxa"/>
              <w:bottom w:w="0" w:type="dxa"/>
            </w:tcMar>
            <w:vAlign w:val="center"/>
          </w:tcPr>
          <w:p w14:paraId="12130F6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2968" w:type="dxa"/>
            <w:shd w:val="clear" w:color="auto" w:fill="auto"/>
            <w:tcMar>
              <w:top w:w="0" w:type="dxa"/>
              <w:bottom w:w="0" w:type="dxa"/>
            </w:tcMar>
            <w:vAlign w:val="center"/>
          </w:tcPr>
          <w:p w14:paraId="0041C5D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Clean water output</w:t>
            </w:r>
          </w:p>
        </w:tc>
        <w:tc>
          <w:tcPr>
            <w:tcW w:w="900" w:type="dxa"/>
            <w:shd w:val="clear" w:color="auto" w:fill="auto"/>
            <w:tcMar>
              <w:top w:w="0" w:type="dxa"/>
              <w:bottom w:w="0" w:type="dxa"/>
            </w:tcMar>
            <w:vAlign w:val="center"/>
          </w:tcPr>
          <w:p w14:paraId="764ECB00" w14:textId="52C0FD84" w:rsidR="00FB53E4" w:rsidRDefault="00EE463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m3</w:t>
            </w:r>
          </w:p>
        </w:tc>
        <w:tc>
          <w:tcPr>
            <w:tcW w:w="1169" w:type="dxa"/>
            <w:shd w:val="clear" w:color="auto" w:fill="auto"/>
            <w:tcMar>
              <w:top w:w="0" w:type="dxa"/>
              <w:bottom w:w="0" w:type="dxa"/>
            </w:tcMar>
            <w:vAlign w:val="center"/>
          </w:tcPr>
          <w:p w14:paraId="47CEA44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772,000</w:t>
            </w:r>
          </w:p>
        </w:tc>
        <w:tc>
          <w:tcPr>
            <w:tcW w:w="1259" w:type="dxa"/>
            <w:shd w:val="clear" w:color="auto" w:fill="auto"/>
            <w:tcMar>
              <w:top w:w="0" w:type="dxa"/>
              <w:bottom w:w="0" w:type="dxa"/>
            </w:tcMar>
            <w:vAlign w:val="center"/>
          </w:tcPr>
          <w:p w14:paraId="5D821C6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849,056</w:t>
            </w:r>
          </w:p>
        </w:tc>
        <w:tc>
          <w:tcPr>
            <w:tcW w:w="990" w:type="dxa"/>
            <w:shd w:val="clear" w:color="auto" w:fill="auto"/>
            <w:tcMar>
              <w:top w:w="0" w:type="dxa"/>
              <w:bottom w:w="0" w:type="dxa"/>
            </w:tcMar>
            <w:vAlign w:val="center"/>
          </w:tcPr>
          <w:p w14:paraId="6387791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110%</w:t>
            </w:r>
          </w:p>
        </w:tc>
        <w:tc>
          <w:tcPr>
            <w:tcW w:w="1196" w:type="dxa"/>
            <w:shd w:val="clear" w:color="auto" w:fill="auto"/>
            <w:tcMar>
              <w:top w:w="0" w:type="dxa"/>
              <w:bottom w:w="0" w:type="dxa"/>
            </w:tcMar>
            <w:vAlign w:val="center"/>
          </w:tcPr>
          <w:p w14:paraId="5F3E89D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w:t>
            </w:r>
          </w:p>
        </w:tc>
      </w:tr>
      <w:tr w:rsidR="00FB53E4" w14:paraId="393CD765" w14:textId="77777777">
        <w:tc>
          <w:tcPr>
            <w:tcW w:w="535" w:type="dxa"/>
            <w:shd w:val="clear" w:color="auto" w:fill="auto"/>
            <w:tcMar>
              <w:top w:w="0" w:type="dxa"/>
              <w:bottom w:w="0" w:type="dxa"/>
            </w:tcMar>
            <w:vAlign w:val="center"/>
          </w:tcPr>
          <w:p w14:paraId="46BEDB9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2968" w:type="dxa"/>
            <w:shd w:val="clear" w:color="auto" w:fill="auto"/>
            <w:tcMar>
              <w:top w:w="0" w:type="dxa"/>
              <w:bottom w:w="0" w:type="dxa"/>
            </w:tcMar>
            <w:vAlign w:val="center"/>
          </w:tcPr>
          <w:p w14:paraId="22FAAAF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900" w:type="dxa"/>
            <w:shd w:val="clear" w:color="auto" w:fill="auto"/>
            <w:tcMar>
              <w:top w:w="0" w:type="dxa"/>
              <w:bottom w:w="0" w:type="dxa"/>
            </w:tcMar>
            <w:vAlign w:val="center"/>
          </w:tcPr>
          <w:p w14:paraId="057E66C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9" w:type="dxa"/>
            <w:shd w:val="clear" w:color="auto" w:fill="auto"/>
            <w:tcMar>
              <w:top w:w="0" w:type="dxa"/>
              <w:bottom w:w="0" w:type="dxa"/>
            </w:tcMar>
            <w:vAlign w:val="center"/>
          </w:tcPr>
          <w:p w14:paraId="5D3ABDD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208,783</w:t>
            </w:r>
          </w:p>
        </w:tc>
        <w:tc>
          <w:tcPr>
            <w:tcW w:w="1259" w:type="dxa"/>
            <w:shd w:val="clear" w:color="auto" w:fill="auto"/>
            <w:tcMar>
              <w:top w:w="0" w:type="dxa"/>
              <w:bottom w:w="0" w:type="dxa"/>
            </w:tcMar>
            <w:vAlign w:val="center"/>
          </w:tcPr>
          <w:p w14:paraId="31917BC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234,236</w:t>
            </w:r>
          </w:p>
        </w:tc>
        <w:tc>
          <w:tcPr>
            <w:tcW w:w="990" w:type="dxa"/>
            <w:shd w:val="clear" w:color="auto" w:fill="auto"/>
            <w:tcMar>
              <w:top w:w="0" w:type="dxa"/>
              <w:bottom w:w="0" w:type="dxa"/>
            </w:tcMar>
            <w:vAlign w:val="center"/>
          </w:tcPr>
          <w:p w14:paraId="3546749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112%</w:t>
            </w:r>
          </w:p>
        </w:tc>
        <w:tc>
          <w:tcPr>
            <w:tcW w:w="1196" w:type="dxa"/>
            <w:shd w:val="clear" w:color="auto" w:fill="auto"/>
            <w:tcMar>
              <w:top w:w="0" w:type="dxa"/>
              <w:bottom w:w="0" w:type="dxa"/>
            </w:tcMar>
            <w:vAlign w:val="center"/>
          </w:tcPr>
          <w:p w14:paraId="6AF44D0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88%</w:t>
            </w:r>
          </w:p>
        </w:tc>
      </w:tr>
      <w:tr w:rsidR="00FB53E4" w14:paraId="32B83EAF" w14:textId="77777777">
        <w:tc>
          <w:tcPr>
            <w:tcW w:w="535" w:type="dxa"/>
            <w:shd w:val="clear" w:color="auto" w:fill="auto"/>
            <w:tcMar>
              <w:top w:w="0" w:type="dxa"/>
              <w:bottom w:w="0" w:type="dxa"/>
            </w:tcMar>
            <w:vAlign w:val="center"/>
          </w:tcPr>
          <w:p w14:paraId="6E201847"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2968" w:type="dxa"/>
            <w:shd w:val="clear" w:color="auto" w:fill="auto"/>
            <w:tcMar>
              <w:top w:w="0" w:type="dxa"/>
              <w:bottom w:w="0" w:type="dxa"/>
            </w:tcMar>
            <w:vAlign w:val="center"/>
          </w:tcPr>
          <w:p w14:paraId="60504CC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00" w:type="dxa"/>
            <w:shd w:val="clear" w:color="auto" w:fill="auto"/>
            <w:tcMar>
              <w:top w:w="0" w:type="dxa"/>
              <w:bottom w:w="0" w:type="dxa"/>
            </w:tcMar>
            <w:vAlign w:val="center"/>
          </w:tcPr>
          <w:p w14:paraId="039E919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9" w:type="dxa"/>
            <w:shd w:val="clear" w:color="auto" w:fill="auto"/>
            <w:tcMar>
              <w:top w:w="0" w:type="dxa"/>
              <w:bottom w:w="0" w:type="dxa"/>
            </w:tcMar>
            <w:vAlign w:val="center"/>
          </w:tcPr>
          <w:p w14:paraId="7543134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96,692</w:t>
            </w:r>
          </w:p>
        </w:tc>
        <w:tc>
          <w:tcPr>
            <w:tcW w:w="1259" w:type="dxa"/>
            <w:shd w:val="clear" w:color="auto" w:fill="auto"/>
            <w:tcMar>
              <w:top w:w="0" w:type="dxa"/>
              <w:bottom w:w="0" w:type="dxa"/>
            </w:tcMar>
            <w:vAlign w:val="center"/>
          </w:tcPr>
          <w:p w14:paraId="2947A66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116,462</w:t>
            </w:r>
          </w:p>
        </w:tc>
        <w:tc>
          <w:tcPr>
            <w:tcW w:w="990" w:type="dxa"/>
            <w:shd w:val="clear" w:color="auto" w:fill="auto"/>
            <w:tcMar>
              <w:top w:w="0" w:type="dxa"/>
              <w:bottom w:w="0" w:type="dxa"/>
            </w:tcMar>
            <w:vAlign w:val="center"/>
          </w:tcPr>
          <w:p w14:paraId="3CC83B0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120%</w:t>
            </w:r>
          </w:p>
        </w:tc>
        <w:tc>
          <w:tcPr>
            <w:tcW w:w="1196" w:type="dxa"/>
            <w:shd w:val="clear" w:color="auto" w:fill="auto"/>
            <w:tcMar>
              <w:top w:w="0" w:type="dxa"/>
              <w:bottom w:w="0" w:type="dxa"/>
            </w:tcMar>
            <w:vAlign w:val="center"/>
          </w:tcPr>
          <w:p w14:paraId="688E35F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82%</w:t>
            </w:r>
          </w:p>
        </w:tc>
      </w:tr>
      <w:tr w:rsidR="00FB53E4" w14:paraId="6A4CBC6C" w14:textId="77777777">
        <w:tc>
          <w:tcPr>
            <w:tcW w:w="535" w:type="dxa"/>
            <w:shd w:val="clear" w:color="auto" w:fill="auto"/>
            <w:tcMar>
              <w:top w:w="0" w:type="dxa"/>
              <w:bottom w:w="0" w:type="dxa"/>
            </w:tcMar>
            <w:vAlign w:val="center"/>
          </w:tcPr>
          <w:p w14:paraId="61499B2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2968" w:type="dxa"/>
            <w:shd w:val="clear" w:color="auto" w:fill="auto"/>
            <w:tcMar>
              <w:top w:w="0" w:type="dxa"/>
              <w:bottom w:w="0" w:type="dxa"/>
            </w:tcMar>
            <w:vAlign w:val="center"/>
          </w:tcPr>
          <w:p w14:paraId="5FD1663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00" w:type="dxa"/>
            <w:shd w:val="clear" w:color="auto" w:fill="auto"/>
            <w:tcMar>
              <w:top w:w="0" w:type="dxa"/>
              <w:bottom w:w="0" w:type="dxa"/>
            </w:tcMar>
            <w:vAlign w:val="center"/>
          </w:tcPr>
          <w:p w14:paraId="7F4AC69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9" w:type="dxa"/>
            <w:shd w:val="clear" w:color="auto" w:fill="auto"/>
            <w:tcMar>
              <w:top w:w="0" w:type="dxa"/>
              <w:bottom w:w="0" w:type="dxa"/>
            </w:tcMar>
            <w:vAlign w:val="center"/>
          </w:tcPr>
          <w:p w14:paraId="72B13F5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77,279</w:t>
            </w:r>
          </w:p>
        </w:tc>
        <w:tc>
          <w:tcPr>
            <w:tcW w:w="1259" w:type="dxa"/>
            <w:shd w:val="clear" w:color="auto" w:fill="auto"/>
            <w:tcMar>
              <w:top w:w="0" w:type="dxa"/>
              <w:bottom w:w="0" w:type="dxa"/>
            </w:tcMar>
            <w:vAlign w:val="center"/>
          </w:tcPr>
          <w:p w14:paraId="14D78DC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93,079</w:t>
            </w:r>
          </w:p>
        </w:tc>
        <w:tc>
          <w:tcPr>
            <w:tcW w:w="990" w:type="dxa"/>
            <w:shd w:val="clear" w:color="auto" w:fill="auto"/>
            <w:tcMar>
              <w:top w:w="0" w:type="dxa"/>
              <w:bottom w:w="0" w:type="dxa"/>
            </w:tcMar>
            <w:vAlign w:val="center"/>
          </w:tcPr>
          <w:p w14:paraId="2C67B6E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120%</w:t>
            </w:r>
          </w:p>
        </w:tc>
        <w:tc>
          <w:tcPr>
            <w:tcW w:w="1196" w:type="dxa"/>
            <w:shd w:val="clear" w:color="auto" w:fill="auto"/>
            <w:tcMar>
              <w:top w:w="0" w:type="dxa"/>
              <w:bottom w:w="0" w:type="dxa"/>
            </w:tcMar>
            <w:vAlign w:val="center"/>
          </w:tcPr>
          <w:p w14:paraId="21E1B0E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82%</w:t>
            </w:r>
          </w:p>
        </w:tc>
      </w:tr>
      <w:tr w:rsidR="00FB53E4" w14:paraId="5A240D21" w14:textId="77777777">
        <w:tc>
          <w:tcPr>
            <w:tcW w:w="535" w:type="dxa"/>
            <w:shd w:val="clear" w:color="auto" w:fill="auto"/>
            <w:tcMar>
              <w:top w:w="0" w:type="dxa"/>
              <w:bottom w:w="0" w:type="dxa"/>
            </w:tcMar>
            <w:vAlign w:val="center"/>
          </w:tcPr>
          <w:p w14:paraId="1CE57D0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2968" w:type="dxa"/>
            <w:shd w:val="clear" w:color="auto" w:fill="auto"/>
            <w:tcMar>
              <w:top w:w="0" w:type="dxa"/>
              <w:bottom w:w="0" w:type="dxa"/>
            </w:tcMar>
            <w:vAlign w:val="center"/>
          </w:tcPr>
          <w:p w14:paraId="2AF9A6A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Payables to State Budget</w:t>
            </w:r>
          </w:p>
        </w:tc>
        <w:tc>
          <w:tcPr>
            <w:tcW w:w="900" w:type="dxa"/>
            <w:shd w:val="clear" w:color="auto" w:fill="auto"/>
            <w:tcMar>
              <w:top w:w="0" w:type="dxa"/>
              <w:bottom w:w="0" w:type="dxa"/>
            </w:tcMar>
            <w:vAlign w:val="center"/>
          </w:tcPr>
          <w:p w14:paraId="467AD78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9" w:type="dxa"/>
            <w:shd w:val="clear" w:color="auto" w:fill="auto"/>
            <w:tcMar>
              <w:top w:w="0" w:type="dxa"/>
              <w:bottom w:w="0" w:type="dxa"/>
            </w:tcMar>
            <w:vAlign w:val="center"/>
          </w:tcPr>
          <w:p w14:paraId="71AAB90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65,452</w:t>
            </w:r>
          </w:p>
        </w:tc>
        <w:tc>
          <w:tcPr>
            <w:tcW w:w="1259" w:type="dxa"/>
            <w:shd w:val="clear" w:color="auto" w:fill="auto"/>
            <w:tcMar>
              <w:top w:w="0" w:type="dxa"/>
              <w:bottom w:w="0" w:type="dxa"/>
            </w:tcMar>
            <w:vAlign w:val="center"/>
          </w:tcPr>
          <w:p w14:paraId="3D89CFE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71,685</w:t>
            </w:r>
          </w:p>
        </w:tc>
        <w:tc>
          <w:tcPr>
            <w:tcW w:w="990" w:type="dxa"/>
            <w:shd w:val="clear" w:color="auto" w:fill="auto"/>
            <w:tcMar>
              <w:top w:w="0" w:type="dxa"/>
              <w:bottom w:w="0" w:type="dxa"/>
            </w:tcMar>
            <w:vAlign w:val="center"/>
          </w:tcPr>
          <w:p w14:paraId="6AF8F8B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110%</w:t>
            </w:r>
          </w:p>
        </w:tc>
        <w:tc>
          <w:tcPr>
            <w:tcW w:w="1196" w:type="dxa"/>
            <w:shd w:val="clear" w:color="auto" w:fill="auto"/>
            <w:tcMar>
              <w:top w:w="0" w:type="dxa"/>
              <w:bottom w:w="0" w:type="dxa"/>
            </w:tcMar>
            <w:vAlign w:val="center"/>
          </w:tcPr>
          <w:p w14:paraId="6C6AD96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88%</w:t>
            </w:r>
          </w:p>
        </w:tc>
      </w:tr>
      <w:tr w:rsidR="00FB53E4" w14:paraId="60CE4639" w14:textId="77777777">
        <w:tc>
          <w:tcPr>
            <w:tcW w:w="535" w:type="dxa"/>
            <w:shd w:val="clear" w:color="auto" w:fill="auto"/>
            <w:tcMar>
              <w:top w:w="0" w:type="dxa"/>
              <w:bottom w:w="0" w:type="dxa"/>
            </w:tcMar>
            <w:vAlign w:val="center"/>
          </w:tcPr>
          <w:p w14:paraId="34187F6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w:t>
            </w:r>
          </w:p>
        </w:tc>
        <w:tc>
          <w:tcPr>
            <w:tcW w:w="2968" w:type="dxa"/>
            <w:shd w:val="clear" w:color="auto" w:fill="auto"/>
            <w:tcMar>
              <w:top w:w="0" w:type="dxa"/>
              <w:bottom w:w="0" w:type="dxa"/>
            </w:tcMar>
            <w:vAlign w:val="center"/>
          </w:tcPr>
          <w:p w14:paraId="2ADD940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Investment and development value</w:t>
            </w:r>
          </w:p>
        </w:tc>
        <w:tc>
          <w:tcPr>
            <w:tcW w:w="900" w:type="dxa"/>
            <w:shd w:val="clear" w:color="auto" w:fill="auto"/>
            <w:tcMar>
              <w:top w:w="0" w:type="dxa"/>
              <w:bottom w:w="0" w:type="dxa"/>
            </w:tcMar>
            <w:vAlign w:val="center"/>
          </w:tcPr>
          <w:p w14:paraId="1183933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9" w:type="dxa"/>
            <w:shd w:val="clear" w:color="auto" w:fill="auto"/>
            <w:tcMar>
              <w:top w:w="0" w:type="dxa"/>
              <w:bottom w:w="0" w:type="dxa"/>
            </w:tcMar>
            <w:vAlign w:val="center"/>
          </w:tcPr>
          <w:p w14:paraId="7FB2E52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
        </w:tc>
        <w:tc>
          <w:tcPr>
            <w:tcW w:w="1259" w:type="dxa"/>
            <w:shd w:val="clear" w:color="auto" w:fill="auto"/>
            <w:tcMar>
              <w:top w:w="0" w:type="dxa"/>
              <w:bottom w:w="0" w:type="dxa"/>
            </w:tcMar>
            <w:vAlign w:val="center"/>
          </w:tcPr>
          <w:p w14:paraId="0D0D793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
        </w:tc>
        <w:tc>
          <w:tcPr>
            <w:tcW w:w="990" w:type="dxa"/>
            <w:shd w:val="clear" w:color="auto" w:fill="auto"/>
            <w:tcMar>
              <w:top w:w="0" w:type="dxa"/>
              <w:bottom w:w="0" w:type="dxa"/>
            </w:tcMar>
            <w:vAlign w:val="center"/>
          </w:tcPr>
          <w:p w14:paraId="58EFCC15" w14:textId="77777777" w:rsidR="00FB53E4" w:rsidRDefault="00FB53E4">
            <w:pPr>
              <w:tabs>
                <w:tab w:val="left" w:pos="450"/>
              </w:tabs>
              <w:spacing w:after="120" w:line="360" w:lineRule="auto"/>
              <w:rPr>
                <w:rFonts w:ascii="Arial" w:eastAsia="Arial" w:hAnsi="Arial" w:cs="Arial"/>
                <w:color w:val="010000"/>
                <w:sz w:val="20"/>
                <w:szCs w:val="20"/>
              </w:rPr>
            </w:pPr>
          </w:p>
        </w:tc>
        <w:tc>
          <w:tcPr>
            <w:tcW w:w="1196" w:type="dxa"/>
            <w:shd w:val="clear" w:color="auto" w:fill="auto"/>
            <w:tcMar>
              <w:top w:w="0" w:type="dxa"/>
              <w:bottom w:w="0" w:type="dxa"/>
            </w:tcMar>
            <w:vAlign w:val="center"/>
          </w:tcPr>
          <w:p w14:paraId="027515B4" w14:textId="77777777" w:rsidR="00FB53E4" w:rsidRDefault="00FB53E4">
            <w:pPr>
              <w:tabs>
                <w:tab w:val="left" w:pos="450"/>
              </w:tabs>
              <w:spacing w:after="120" w:line="360" w:lineRule="auto"/>
              <w:rPr>
                <w:rFonts w:ascii="Arial" w:eastAsia="Arial" w:hAnsi="Arial" w:cs="Arial"/>
                <w:color w:val="010000"/>
                <w:sz w:val="20"/>
                <w:szCs w:val="20"/>
              </w:rPr>
            </w:pPr>
          </w:p>
        </w:tc>
      </w:tr>
    </w:tbl>
    <w:p w14:paraId="6468DC83" w14:textId="77777777" w:rsidR="00FB53E4" w:rsidRDefault="00FB6020">
      <w:pPr>
        <w:numPr>
          <w:ilvl w:val="1"/>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Production and business plan for 2024:</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gridCol w:w="2092"/>
        <w:gridCol w:w="1020"/>
        <w:gridCol w:w="1083"/>
        <w:gridCol w:w="902"/>
        <w:gridCol w:w="1175"/>
        <w:gridCol w:w="1510"/>
        <w:gridCol w:w="922"/>
      </w:tblGrid>
      <w:tr w:rsidR="00FB53E4" w14:paraId="6BED1232" w14:textId="77777777">
        <w:tc>
          <w:tcPr>
            <w:tcW w:w="313" w:type="dxa"/>
            <w:shd w:val="clear" w:color="auto" w:fill="auto"/>
            <w:tcMar>
              <w:top w:w="0" w:type="dxa"/>
              <w:bottom w:w="0" w:type="dxa"/>
            </w:tcMar>
            <w:vAlign w:val="center"/>
          </w:tcPr>
          <w:p w14:paraId="25E07C5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092" w:type="dxa"/>
            <w:shd w:val="clear" w:color="auto" w:fill="auto"/>
            <w:tcMar>
              <w:top w:w="0" w:type="dxa"/>
              <w:bottom w:w="0" w:type="dxa"/>
            </w:tcMar>
            <w:vAlign w:val="center"/>
          </w:tcPr>
          <w:p w14:paraId="300EB48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Main targets</w:t>
            </w:r>
          </w:p>
        </w:tc>
        <w:tc>
          <w:tcPr>
            <w:tcW w:w="1020" w:type="dxa"/>
            <w:shd w:val="clear" w:color="auto" w:fill="auto"/>
            <w:tcMar>
              <w:top w:w="0" w:type="dxa"/>
              <w:bottom w:w="0" w:type="dxa"/>
            </w:tcMar>
            <w:vAlign w:val="center"/>
          </w:tcPr>
          <w:p w14:paraId="3F315FB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Unit</w:t>
            </w:r>
          </w:p>
        </w:tc>
        <w:tc>
          <w:tcPr>
            <w:tcW w:w="1083" w:type="dxa"/>
            <w:shd w:val="clear" w:color="auto" w:fill="auto"/>
            <w:tcMar>
              <w:top w:w="0" w:type="dxa"/>
              <w:bottom w:w="0" w:type="dxa"/>
            </w:tcMar>
            <w:vAlign w:val="center"/>
          </w:tcPr>
          <w:p w14:paraId="6432995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Plan</w:t>
            </w:r>
          </w:p>
        </w:tc>
        <w:tc>
          <w:tcPr>
            <w:tcW w:w="902" w:type="dxa"/>
            <w:shd w:val="clear" w:color="auto" w:fill="auto"/>
            <w:tcMar>
              <w:top w:w="0" w:type="dxa"/>
              <w:bottom w:w="0" w:type="dxa"/>
            </w:tcMar>
            <w:vAlign w:val="center"/>
          </w:tcPr>
          <w:p w14:paraId="0430B97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w:t>
            </w:r>
          </w:p>
        </w:tc>
        <w:tc>
          <w:tcPr>
            <w:tcW w:w="1175" w:type="dxa"/>
            <w:shd w:val="clear" w:color="auto" w:fill="auto"/>
            <w:tcMar>
              <w:top w:w="0" w:type="dxa"/>
              <w:bottom w:w="0" w:type="dxa"/>
            </w:tcMar>
            <w:vAlign w:val="center"/>
          </w:tcPr>
          <w:p w14:paraId="5C4768B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2024 Plan</w:t>
            </w:r>
          </w:p>
        </w:tc>
        <w:tc>
          <w:tcPr>
            <w:tcW w:w="1510" w:type="dxa"/>
            <w:shd w:val="clear" w:color="auto" w:fill="auto"/>
            <w:tcMar>
              <w:top w:w="0" w:type="dxa"/>
              <w:bottom w:w="0" w:type="dxa"/>
            </w:tcMar>
            <w:vAlign w:val="center"/>
          </w:tcPr>
          <w:p w14:paraId="3A89ED1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2024 Plan/2023 Results (%)</w:t>
            </w:r>
          </w:p>
        </w:tc>
        <w:tc>
          <w:tcPr>
            <w:tcW w:w="922" w:type="dxa"/>
            <w:shd w:val="clear" w:color="auto" w:fill="auto"/>
            <w:tcMar>
              <w:top w:w="0" w:type="dxa"/>
              <w:bottom w:w="0" w:type="dxa"/>
            </w:tcMar>
            <w:vAlign w:val="center"/>
          </w:tcPr>
          <w:p w14:paraId="585910F9"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2024 Plan/2023 Plan (%)</w:t>
            </w:r>
          </w:p>
        </w:tc>
      </w:tr>
      <w:tr w:rsidR="00FB53E4" w14:paraId="79E0EE2E" w14:textId="77777777">
        <w:tc>
          <w:tcPr>
            <w:tcW w:w="313" w:type="dxa"/>
            <w:shd w:val="clear" w:color="auto" w:fill="auto"/>
            <w:tcMar>
              <w:top w:w="0" w:type="dxa"/>
              <w:bottom w:w="0" w:type="dxa"/>
            </w:tcMar>
            <w:vAlign w:val="center"/>
          </w:tcPr>
          <w:p w14:paraId="00DFFE0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092" w:type="dxa"/>
            <w:shd w:val="clear" w:color="auto" w:fill="auto"/>
            <w:tcMar>
              <w:top w:w="0" w:type="dxa"/>
              <w:bottom w:w="0" w:type="dxa"/>
            </w:tcMar>
            <w:vAlign w:val="center"/>
          </w:tcPr>
          <w:p w14:paraId="2C2121B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Commercial power output</w:t>
            </w:r>
          </w:p>
        </w:tc>
        <w:tc>
          <w:tcPr>
            <w:tcW w:w="1020" w:type="dxa"/>
            <w:shd w:val="clear" w:color="auto" w:fill="auto"/>
            <w:tcMar>
              <w:top w:w="0" w:type="dxa"/>
              <w:bottom w:w="0" w:type="dxa"/>
            </w:tcMar>
            <w:vAlign w:val="center"/>
          </w:tcPr>
          <w:p w14:paraId="0E184FA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kWh</w:t>
            </w:r>
          </w:p>
        </w:tc>
        <w:tc>
          <w:tcPr>
            <w:tcW w:w="1083" w:type="dxa"/>
            <w:shd w:val="clear" w:color="auto" w:fill="auto"/>
            <w:tcMar>
              <w:top w:w="0" w:type="dxa"/>
              <w:bottom w:w="0" w:type="dxa"/>
            </w:tcMar>
            <w:vAlign w:val="center"/>
          </w:tcPr>
          <w:p w14:paraId="55B40ED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235</w:t>
            </w:r>
          </w:p>
        </w:tc>
        <w:tc>
          <w:tcPr>
            <w:tcW w:w="902" w:type="dxa"/>
            <w:shd w:val="clear" w:color="auto" w:fill="auto"/>
            <w:tcMar>
              <w:top w:w="0" w:type="dxa"/>
              <w:bottom w:w="0" w:type="dxa"/>
            </w:tcMar>
            <w:vAlign w:val="center"/>
          </w:tcPr>
          <w:p w14:paraId="77AA68D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254</w:t>
            </w:r>
          </w:p>
        </w:tc>
        <w:tc>
          <w:tcPr>
            <w:tcW w:w="1175" w:type="dxa"/>
            <w:shd w:val="clear" w:color="auto" w:fill="auto"/>
            <w:tcMar>
              <w:top w:w="0" w:type="dxa"/>
              <w:bottom w:w="0" w:type="dxa"/>
            </w:tcMar>
            <w:vAlign w:val="center"/>
          </w:tcPr>
          <w:p w14:paraId="5F86007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240</w:t>
            </w:r>
          </w:p>
        </w:tc>
        <w:tc>
          <w:tcPr>
            <w:tcW w:w="1510" w:type="dxa"/>
            <w:shd w:val="clear" w:color="auto" w:fill="auto"/>
            <w:tcMar>
              <w:top w:w="0" w:type="dxa"/>
              <w:bottom w:w="0" w:type="dxa"/>
            </w:tcMar>
            <w:vAlign w:val="center"/>
          </w:tcPr>
          <w:p w14:paraId="32CD8E5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94%</w:t>
            </w:r>
          </w:p>
        </w:tc>
        <w:tc>
          <w:tcPr>
            <w:tcW w:w="922" w:type="dxa"/>
            <w:shd w:val="clear" w:color="auto" w:fill="auto"/>
            <w:tcMar>
              <w:top w:w="0" w:type="dxa"/>
              <w:bottom w:w="0" w:type="dxa"/>
            </w:tcMar>
            <w:vAlign w:val="center"/>
          </w:tcPr>
          <w:p w14:paraId="12DB15D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102%</w:t>
            </w:r>
          </w:p>
        </w:tc>
      </w:tr>
      <w:tr w:rsidR="00FB53E4" w14:paraId="26D0EC6A" w14:textId="77777777">
        <w:tc>
          <w:tcPr>
            <w:tcW w:w="313" w:type="dxa"/>
            <w:shd w:val="clear" w:color="auto" w:fill="auto"/>
            <w:tcMar>
              <w:top w:w="0" w:type="dxa"/>
              <w:bottom w:w="0" w:type="dxa"/>
            </w:tcMar>
            <w:vAlign w:val="center"/>
          </w:tcPr>
          <w:p w14:paraId="451E533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2092" w:type="dxa"/>
            <w:shd w:val="clear" w:color="auto" w:fill="auto"/>
            <w:tcMar>
              <w:top w:w="0" w:type="dxa"/>
              <w:bottom w:w="0" w:type="dxa"/>
            </w:tcMar>
            <w:vAlign w:val="center"/>
          </w:tcPr>
          <w:p w14:paraId="376A820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Clean water output</w:t>
            </w:r>
          </w:p>
        </w:tc>
        <w:tc>
          <w:tcPr>
            <w:tcW w:w="1020" w:type="dxa"/>
            <w:shd w:val="clear" w:color="auto" w:fill="auto"/>
            <w:tcMar>
              <w:top w:w="0" w:type="dxa"/>
              <w:bottom w:w="0" w:type="dxa"/>
            </w:tcMar>
            <w:vAlign w:val="center"/>
          </w:tcPr>
          <w:p w14:paraId="0C0A15D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m3</w:t>
            </w:r>
          </w:p>
        </w:tc>
        <w:tc>
          <w:tcPr>
            <w:tcW w:w="1083" w:type="dxa"/>
            <w:shd w:val="clear" w:color="auto" w:fill="auto"/>
            <w:tcMar>
              <w:top w:w="0" w:type="dxa"/>
              <w:bottom w:w="0" w:type="dxa"/>
            </w:tcMar>
            <w:vAlign w:val="center"/>
          </w:tcPr>
          <w:p w14:paraId="79F58D4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772,000</w:t>
            </w:r>
          </w:p>
        </w:tc>
        <w:tc>
          <w:tcPr>
            <w:tcW w:w="902" w:type="dxa"/>
            <w:shd w:val="clear" w:color="auto" w:fill="auto"/>
            <w:tcMar>
              <w:top w:w="0" w:type="dxa"/>
              <w:bottom w:w="0" w:type="dxa"/>
            </w:tcMar>
            <w:vAlign w:val="center"/>
          </w:tcPr>
          <w:p w14:paraId="5C3A06B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849,056</w:t>
            </w:r>
          </w:p>
        </w:tc>
        <w:tc>
          <w:tcPr>
            <w:tcW w:w="1175" w:type="dxa"/>
            <w:shd w:val="clear" w:color="auto" w:fill="auto"/>
            <w:tcMar>
              <w:top w:w="0" w:type="dxa"/>
              <w:bottom w:w="0" w:type="dxa"/>
            </w:tcMar>
            <w:vAlign w:val="center"/>
          </w:tcPr>
          <w:p w14:paraId="39210C4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787,440</w:t>
            </w:r>
          </w:p>
        </w:tc>
        <w:tc>
          <w:tcPr>
            <w:tcW w:w="1510" w:type="dxa"/>
            <w:shd w:val="clear" w:color="auto" w:fill="auto"/>
            <w:tcMar>
              <w:top w:w="0" w:type="dxa"/>
              <w:bottom w:w="0" w:type="dxa"/>
            </w:tcMar>
            <w:vAlign w:val="center"/>
          </w:tcPr>
          <w:p w14:paraId="43E0B93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93%</w:t>
            </w:r>
          </w:p>
        </w:tc>
        <w:tc>
          <w:tcPr>
            <w:tcW w:w="922" w:type="dxa"/>
            <w:shd w:val="clear" w:color="auto" w:fill="auto"/>
            <w:tcMar>
              <w:top w:w="0" w:type="dxa"/>
              <w:bottom w:w="0" w:type="dxa"/>
            </w:tcMar>
            <w:vAlign w:val="center"/>
          </w:tcPr>
          <w:p w14:paraId="1F2D458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102%</w:t>
            </w:r>
          </w:p>
        </w:tc>
      </w:tr>
      <w:tr w:rsidR="00FB53E4" w14:paraId="3D76426B" w14:textId="77777777">
        <w:tc>
          <w:tcPr>
            <w:tcW w:w="313" w:type="dxa"/>
            <w:shd w:val="clear" w:color="auto" w:fill="auto"/>
            <w:tcMar>
              <w:top w:w="0" w:type="dxa"/>
              <w:bottom w:w="0" w:type="dxa"/>
            </w:tcMar>
            <w:vAlign w:val="center"/>
          </w:tcPr>
          <w:p w14:paraId="380A63F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2092" w:type="dxa"/>
            <w:shd w:val="clear" w:color="auto" w:fill="auto"/>
            <w:tcMar>
              <w:top w:w="0" w:type="dxa"/>
              <w:bottom w:w="0" w:type="dxa"/>
            </w:tcMar>
            <w:vAlign w:val="center"/>
          </w:tcPr>
          <w:p w14:paraId="01A9E32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020" w:type="dxa"/>
            <w:shd w:val="clear" w:color="auto" w:fill="auto"/>
            <w:tcMar>
              <w:top w:w="0" w:type="dxa"/>
              <w:bottom w:w="0" w:type="dxa"/>
            </w:tcMar>
            <w:vAlign w:val="center"/>
          </w:tcPr>
          <w:p w14:paraId="6D7D3D7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Million </w:t>
            </w:r>
            <w:r>
              <w:rPr>
                <w:rFonts w:ascii="Arial" w:hAnsi="Arial"/>
                <w:color w:val="010000"/>
                <w:sz w:val="20"/>
              </w:rPr>
              <w:lastRenderedPageBreak/>
              <w:t>VND</w:t>
            </w:r>
          </w:p>
        </w:tc>
        <w:tc>
          <w:tcPr>
            <w:tcW w:w="1083" w:type="dxa"/>
            <w:shd w:val="clear" w:color="auto" w:fill="auto"/>
            <w:tcMar>
              <w:top w:w="0" w:type="dxa"/>
              <w:bottom w:w="0" w:type="dxa"/>
            </w:tcMar>
            <w:vAlign w:val="center"/>
          </w:tcPr>
          <w:p w14:paraId="78ACE62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208,783</w:t>
            </w:r>
          </w:p>
        </w:tc>
        <w:tc>
          <w:tcPr>
            <w:tcW w:w="902" w:type="dxa"/>
            <w:shd w:val="clear" w:color="auto" w:fill="auto"/>
            <w:tcMar>
              <w:top w:w="0" w:type="dxa"/>
              <w:bottom w:w="0" w:type="dxa"/>
            </w:tcMar>
            <w:vAlign w:val="center"/>
          </w:tcPr>
          <w:p w14:paraId="1C07958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234,236</w:t>
            </w:r>
          </w:p>
        </w:tc>
        <w:tc>
          <w:tcPr>
            <w:tcW w:w="1175" w:type="dxa"/>
            <w:shd w:val="clear" w:color="auto" w:fill="auto"/>
            <w:tcMar>
              <w:top w:w="0" w:type="dxa"/>
              <w:bottom w:w="0" w:type="dxa"/>
            </w:tcMar>
            <w:vAlign w:val="center"/>
          </w:tcPr>
          <w:p w14:paraId="6A00510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208,956</w:t>
            </w:r>
          </w:p>
        </w:tc>
        <w:tc>
          <w:tcPr>
            <w:tcW w:w="1510" w:type="dxa"/>
            <w:shd w:val="clear" w:color="auto" w:fill="auto"/>
            <w:tcMar>
              <w:top w:w="0" w:type="dxa"/>
              <w:bottom w:w="0" w:type="dxa"/>
            </w:tcMar>
            <w:vAlign w:val="center"/>
          </w:tcPr>
          <w:p w14:paraId="293081F6"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89%</w:t>
            </w:r>
          </w:p>
        </w:tc>
        <w:tc>
          <w:tcPr>
            <w:tcW w:w="922" w:type="dxa"/>
            <w:shd w:val="clear" w:color="auto" w:fill="auto"/>
            <w:tcMar>
              <w:top w:w="0" w:type="dxa"/>
              <w:bottom w:w="0" w:type="dxa"/>
            </w:tcMar>
            <w:vAlign w:val="center"/>
          </w:tcPr>
          <w:p w14:paraId="44F671B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w:t>
            </w:r>
          </w:p>
        </w:tc>
      </w:tr>
      <w:tr w:rsidR="00FB53E4" w14:paraId="26A874C0" w14:textId="77777777">
        <w:tc>
          <w:tcPr>
            <w:tcW w:w="313" w:type="dxa"/>
            <w:shd w:val="clear" w:color="auto" w:fill="auto"/>
            <w:tcMar>
              <w:top w:w="0" w:type="dxa"/>
              <w:bottom w:w="0" w:type="dxa"/>
            </w:tcMar>
            <w:vAlign w:val="center"/>
          </w:tcPr>
          <w:p w14:paraId="7CDEC5C7"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092" w:type="dxa"/>
            <w:shd w:val="clear" w:color="auto" w:fill="auto"/>
            <w:tcMar>
              <w:top w:w="0" w:type="dxa"/>
              <w:bottom w:w="0" w:type="dxa"/>
            </w:tcMar>
            <w:vAlign w:val="center"/>
          </w:tcPr>
          <w:p w14:paraId="09566B5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020" w:type="dxa"/>
            <w:shd w:val="clear" w:color="auto" w:fill="auto"/>
            <w:tcMar>
              <w:top w:w="0" w:type="dxa"/>
              <w:bottom w:w="0" w:type="dxa"/>
            </w:tcMar>
            <w:vAlign w:val="center"/>
          </w:tcPr>
          <w:p w14:paraId="5361A33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083" w:type="dxa"/>
            <w:shd w:val="clear" w:color="auto" w:fill="auto"/>
            <w:tcMar>
              <w:top w:w="0" w:type="dxa"/>
              <w:bottom w:w="0" w:type="dxa"/>
            </w:tcMar>
            <w:vAlign w:val="center"/>
          </w:tcPr>
          <w:p w14:paraId="63BFDD1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96,692</w:t>
            </w:r>
          </w:p>
        </w:tc>
        <w:tc>
          <w:tcPr>
            <w:tcW w:w="902" w:type="dxa"/>
            <w:shd w:val="clear" w:color="auto" w:fill="auto"/>
            <w:tcMar>
              <w:top w:w="0" w:type="dxa"/>
              <w:bottom w:w="0" w:type="dxa"/>
            </w:tcMar>
            <w:vAlign w:val="center"/>
          </w:tcPr>
          <w:p w14:paraId="52924A5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116,462</w:t>
            </w:r>
          </w:p>
        </w:tc>
        <w:tc>
          <w:tcPr>
            <w:tcW w:w="1175" w:type="dxa"/>
            <w:shd w:val="clear" w:color="auto" w:fill="auto"/>
            <w:tcMar>
              <w:top w:w="0" w:type="dxa"/>
              <w:bottom w:w="0" w:type="dxa"/>
            </w:tcMar>
            <w:vAlign w:val="center"/>
          </w:tcPr>
          <w:p w14:paraId="513BF82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95,854</w:t>
            </w:r>
          </w:p>
        </w:tc>
        <w:tc>
          <w:tcPr>
            <w:tcW w:w="1510" w:type="dxa"/>
            <w:shd w:val="clear" w:color="auto" w:fill="auto"/>
            <w:tcMar>
              <w:top w:w="0" w:type="dxa"/>
              <w:bottom w:w="0" w:type="dxa"/>
            </w:tcMar>
            <w:vAlign w:val="center"/>
          </w:tcPr>
          <w:p w14:paraId="04AAC6C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82%</w:t>
            </w:r>
          </w:p>
        </w:tc>
        <w:tc>
          <w:tcPr>
            <w:tcW w:w="922" w:type="dxa"/>
            <w:shd w:val="clear" w:color="auto" w:fill="auto"/>
            <w:tcMar>
              <w:top w:w="0" w:type="dxa"/>
              <w:bottom w:w="0" w:type="dxa"/>
            </w:tcMar>
            <w:vAlign w:val="center"/>
          </w:tcPr>
          <w:p w14:paraId="2697BFD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99%</w:t>
            </w:r>
          </w:p>
        </w:tc>
      </w:tr>
      <w:tr w:rsidR="00FB53E4" w14:paraId="4E710981" w14:textId="77777777">
        <w:tc>
          <w:tcPr>
            <w:tcW w:w="313" w:type="dxa"/>
            <w:shd w:val="clear" w:color="auto" w:fill="auto"/>
            <w:tcMar>
              <w:top w:w="0" w:type="dxa"/>
              <w:bottom w:w="0" w:type="dxa"/>
            </w:tcMar>
            <w:vAlign w:val="center"/>
          </w:tcPr>
          <w:p w14:paraId="2793C01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2092" w:type="dxa"/>
            <w:shd w:val="clear" w:color="auto" w:fill="auto"/>
            <w:tcMar>
              <w:top w:w="0" w:type="dxa"/>
              <w:bottom w:w="0" w:type="dxa"/>
            </w:tcMar>
            <w:vAlign w:val="center"/>
          </w:tcPr>
          <w:p w14:paraId="6A3C2F9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20" w:type="dxa"/>
            <w:shd w:val="clear" w:color="auto" w:fill="auto"/>
            <w:tcMar>
              <w:top w:w="0" w:type="dxa"/>
              <w:bottom w:w="0" w:type="dxa"/>
            </w:tcMar>
            <w:vAlign w:val="center"/>
          </w:tcPr>
          <w:p w14:paraId="21FB289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083" w:type="dxa"/>
            <w:shd w:val="clear" w:color="auto" w:fill="auto"/>
            <w:tcMar>
              <w:top w:w="0" w:type="dxa"/>
              <w:bottom w:w="0" w:type="dxa"/>
            </w:tcMar>
            <w:vAlign w:val="center"/>
          </w:tcPr>
          <w:p w14:paraId="3B504C0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77,279</w:t>
            </w:r>
          </w:p>
        </w:tc>
        <w:tc>
          <w:tcPr>
            <w:tcW w:w="902" w:type="dxa"/>
            <w:shd w:val="clear" w:color="auto" w:fill="auto"/>
            <w:tcMar>
              <w:top w:w="0" w:type="dxa"/>
              <w:bottom w:w="0" w:type="dxa"/>
            </w:tcMar>
            <w:vAlign w:val="center"/>
          </w:tcPr>
          <w:p w14:paraId="128133A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93,079</w:t>
            </w:r>
          </w:p>
        </w:tc>
        <w:tc>
          <w:tcPr>
            <w:tcW w:w="1175" w:type="dxa"/>
            <w:shd w:val="clear" w:color="auto" w:fill="auto"/>
            <w:tcMar>
              <w:top w:w="0" w:type="dxa"/>
              <w:bottom w:w="0" w:type="dxa"/>
            </w:tcMar>
            <w:vAlign w:val="center"/>
          </w:tcPr>
          <w:p w14:paraId="01A6A333"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77,454</w:t>
            </w:r>
          </w:p>
        </w:tc>
        <w:tc>
          <w:tcPr>
            <w:tcW w:w="1510" w:type="dxa"/>
            <w:shd w:val="clear" w:color="auto" w:fill="auto"/>
            <w:tcMar>
              <w:top w:w="0" w:type="dxa"/>
              <w:bottom w:w="0" w:type="dxa"/>
            </w:tcMar>
            <w:vAlign w:val="center"/>
          </w:tcPr>
          <w:p w14:paraId="70CF8AB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83%</w:t>
            </w:r>
          </w:p>
        </w:tc>
        <w:tc>
          <w:tcPr>
            <w:tcW w:w="922" w:type="dxa"/>
            <w:shd w:val="clear" w:color="auto" w:fill="auto"/>
            <w:tcMar>
              <w:top w:w="0" w:type="dxa"/>
              <w:bottom w:w="0" w:type="dxa"/>
            </w:tcMar>
            <w:vAlign w:val="center"/>
          </w:tcPr>
          <w:p w14:paraId="650A126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w:t>
            </w:r>
          </w:p>
        </w:tc>
      </w:tr>
      <w:tr w:rsidR="00FB53E4" w14:paraId="07E23DDD" w14:textId="77777777">
        <w:tc>
          <w:tcPr>
            <w:tcW w:w="313" w:type="dxa"/>
            <w:shd w:val="clear" w:color="auto" w:fill="auto"/>
            <w:tcMar>
              <w:top w:w="0" w:type="dxa"/>
              <w:bottom w:w="0" w:type="dxa"/>
            </w:tcMar>
            <w:vAlign w:val="center"/>
          </w:tcPr>
          <w:p w14:paraId="61867F0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2092" w:type="dxa"/>
            <w:shd w:val="clear" w:color="auto" w:fill="auto"/>
            <w:tcMar>
              <w:top w:w="0" w:type="dxa"/>
              <w:bottom w:w="0" w:type="dxa"/>
            </w:tcMar>
            <w:vAlign w:val="center"/>
          </w:tcPr>
          <w:p w14:paraId="7FC39E8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Payables to State Budget</w:t>
            </w:r>
          </w:p>
        </w:tc>
        <w:tc>
          <w:tcPr>
            <w:tcW w:w="1020" w:type="dxa"/>
            <w:shd w:val="clear" w:color="auto" w:fill="auto"/>
            <w:tcMar>
              <w:top w:w="0" w:type="dxa"/>
              <w:bottom w:w="0" w:type="dxa"/>
            </w:tcMar>
            <w:vAlign w:val="center"/>
          </w:tcPr>
          <w:p w14:paraId="0EA5BEB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083" w:type="dxa"/>
            <w:shd w:val="clear" w:color="auto" w:fill="auto"/>
            <w:tcMar>
              <w:top w:w="0" w:type="dxa"/>
              <w:bottom w:w="0" w:type="dxa"/>
            </w:tcMar>
            <w:vAlign w:val="center"/>
          </w:tcPr>
          <w:p w14:paraId="07916CB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65,452</w:t>
            </w:r>
          </w:p>
        </w:tc>
        <w:tc>
          <w:tcPr>
            <w:tcW w:w="902" w:type="dxa"/>
            <w:shd w:val="clear" w:color="auto" w:fill="auto"/>
            <w:tcMar>
              <w:top w:w="0" w:type="dxa"/>
              <w:bottom w:w="0" w:type="dxa"/>
            </w:tcMar>
            <w:vAlign w:val="center"/>
          </w:tcPr>
          <w:p w14:paraId="7105395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71,685</w:t>
            </w:r>
          </w:p>
        </w:tc>
        <w:tc>
          <w:tcPr>
            <w:tcW w:w="1175" w:type="dxa"/>
            <w:shd w:val="clear" w:color="auto" w:fill="auto"/>
            <w:tcMar>
              <w:top w:w="0" w:type="dxa"/>
              <w:bottom w:w="0" w:type="dxa"/>
            </w:tcMar>
            <w:vAlign w:val="center"/>
          </w:tcPr>
          <w:p w14:paraId="7076B984"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66,621</w:t>
            </w:r>
          </w:p>
        </w:tc>
        <w:tc>
          <w:tcPr>
            <w:tcW w:w="1510" w:type="dxa"/>
            <w:shd w:val="clear" w:color="auto" w:fill="auto"/>
            <w:tcMar>
              <w:top w:w="0" w:type="dxa"/>
              <w:bottom w:w="0" w:type="dxa"/>
            </w:tcMar>
            <w:vAlign w:val="center"/>
          </w:tcPr>
          <w:p w14:paraId="15B7EC39"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93%</w:t>
            </w:r>
          </w:p>
        </w:tc>
        <w:tc>
          <w:tcPr>
            <w:tcW w:w="922" w:type="dxa"/>
            <w:shd w:val="clear" w:color="auto" w:fill="auto"/>
            <w:tcMar>
              <w:top w:w="0" w:type="dxa"/>
              <w:bottom w:w="0" w:type="dxa"/>
            </w:tcMar>
            <w:vAlign w:val="center"/>
          </w:tcPr>
          <w:p w14:paraId="4BEE168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102%</w:t>
            </w:r>
          </w:p>
        </w:tc>
      </w:tr>
    </w:tbl>
    <w:p w14:paraId="0D6C0973" w14:textId="77777777" w:rsidR="00FB53E4" w:rsidRDefault="00FB6020">
      <w:pPr>
        <w:numPr>
          <w:ilvl w:val="0"/>
          <w:numId w:val="11"/>
        </w:numPr>
        <w:pBdr>
          <w:top w:val="nil"/>
          <w:left w:val="nil"/>
          <w:bottom w:val="nil"/>
          <w:right w:val="nil"/>
          <w:between w:val="nil"/>
        </w:pBdr>
        <w:tabs>
          <w:tab w:val="left" w:pos="450"/>
          <w:tab w:val="left" w:pos="958"/>
        </w:tabs>
        <w:spacing w:after="120" w:line="360" w:lineRule="auto"/>
        <w:rPr>
          <w:color w:val="010000"/>
          <w:sz w:val="20"/>
          <w:szCs w:val="20"/>
        </w:rPr>
      </w:pPr>
      <w:r>
        <w:rPr>
          <w:rFonts w:ascii="Arial" w:hAnsi="Arial"/>
          <w:color w:val="010000"/>
          <w:sz w:val="20"/>
        </w:rPr>
        <w:t xml:space="preserve">Report of the Board of Directors on the operational results 2023 and the operational plan for 2024. </w:t>
      </w:r>
    </w:p>
    <w:p w14:paraId="04B3432B" w14:textId="77777777" w:rsidR="00FB53E4" w:rsidRDefault="00FB6020">
      <w:pPr>
        <w:numPr>
          <w:ilvl w:val="0"/>
          <w:numId w:val="11"/>
        </w:numPr>
        <w:pBdr>
          <w:top w:val="nil"/>
          <w:left w:val="nil"/>
          <w:bottom w:val="nil"/>
          <w:right w:val="nil"/>
          <w:between w:val="nil"/>
        </w:pBdr>
        <w:tabs>
          <w:tab w:val="left" w:pos="450"/>
          <w:tab w:val="left" w:pos="958"/>
        </w:tabs>
        <w:spacing w:after="120" w:line="360" w:lineRule="auto"/>
        <w:rPr>
          <w:color w:val="010000"/>
          <w:sz w:val="20"/>
          <w:szCs w:val="20"/>
        </w:rPr>
      </w:pPr>
      <w:r>
        <w:rPr>
          <w:rFonts w:ascii="Arial" w:hAnsi="Arial"/>
          <w:color w:val="010000"/>
          <w:sz w:val="20"/>
        </w:rPr>
        <w:t>The report on activities in 2023 and the plan in 2024 of the Supervisory Board.</w:t>
      </w:r>
    </w:p>
    <w:p w14:paraId="6C24798C" w14:textId="77777777" w:rsidR="00FB53E4" w:rsidRDefault="00FB6020">
      <w:pPr>
        <w:numPr>
          <w:ilvl w:val="0"/>
          <w:numId w:val="11"/>
        </w:numPr>
        <w:pBdr>
          <w:top w:val="nil"/>
          <w:left w:val="nil"/>
          <w:bottom w:val="nil"/>
          <w:right w:val="nil"/>
          <w:between w:val="nil"/>
        </w:pBdr>
        <w:tabs>
          <w:tab w:val="left" w:pos="450"/>
          <w:tab w:val="left" w:pos="1404"/>
        </w:tabs>
        <w:spacing w:after="120" w:line="360" w:lineRule="auto"/>
        <w:rPr>
          <w:color w:val="010000"/>
          <w:sz w:val="20"/>
          <w:szCs w:val="20"/>
        </w:rPr>
      </w:pPr>
      <w:r>
        <w:rPr>
          <w:rFonts w:ascii="Arial" w:hAnsi="Arial"/>
          <w:color w:val="010000"/>
          <w:sz w:val="20"/>
        </w:rPr>
        <w:t>Approve the Audited Financial Statements 2023 audited by</w:t>
      </w:r>
    </w:p>
    <w:p w14:paraId="4E57E127"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CPA Vietnam Auditing Company Limited.</w:t>
      </w:r>
    </w:p>
    <w:p w14:paraId="1C656139" w14:textId="2E13F497" w:rsidR="00FB53E4" w:rsidRDefault="00FB6020">
      <w:pPr>
        <w:numPr>
          <w:ilvl w:val="0"/>
          <w:numId w:val="11"/>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t xml:space="preserve"> Profit di</w:t>
      </w:r>
      <w:r w:rsidR="007F771C">
        <w:rPr>
          <w:rFonts w:ascii="Arial" w:hAnsi="Arial"/>
          <w:color w:val="010000"/>
          <w:sz w:val="20"/>
        </w:rPr>
        <w:t>stribution plan for 2023 and</w:t>
      </w:r>
      <w:r>
        <w:rPr>
          <w:rFonts w:ascii="Arial" w:hAnsi="Arial"/>
          <w:color w:val="010000"/>
          <w:sz w:val="20"/>
        </w:rPr>
        <w:t xml:space="preserve"> plan for 2024: </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2"/>
        <w:gridCol w:w="2265"/>
      </w:tblGrid>
      <w:tr w:rsidR="00FB53E4" w14:paraId="5AAE5167" w14:textId="77777777">
        <w:tc>
          <w:tcPr>
            <w:tcW w:w="6752" w:type="dxa"/>
            <w:shd w:val="clear" w:color="auto" w:fill="auto"/>
            <w:tcMar>
              <w:top w:w="0" w:type="dxa"/>
              <w:bottom w:w="0" w:type="dxa"/>
            </w:tcMar>
            <w:vAlign w:val="center"/>
          </w:tcPr>
          <w:p w14:paraId="784F893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Content</w:t>
            </w:r>
          </w:p>
        </w:tc>
        <w:tc>
          <w:tcPr>
            <w:tcW w:w="2265" w:type="dxa"/>
            <w:shd w:val="clear" w:color="auto" w:fill="auto"/>
            <w:tcMar>
              <w:top w:w="0" w:type="dxa"/>
              <w:bottom w:w="0" w:type="dxa"/>
            </w:tcMar>
            <w:vAlign w:val="center"/>
          </w:tcPr>
          <w:p w14:paraId="1E4F139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Amount (Unit: VND)</w:t>
            </w:r>
          </w:p>
        </w:tc>
      </w:tr>
      <w:tr w:rsidR="00FB53E4" w14:paraId="2C58B34D" w14:textId="77777777">
        <w:tc>
          <w:tcPr>
            <w:tcW w:w="6752" w:type="dxa"/>
            <w:shd w:val="clear" w:color="auto" w:fill="auto"/>
            <w:tcMar>
              <w:top w:w="0" w:type="dxa"/>
              <w:bottom w:w="0" w:type="dxa"/>
            </w:tcMar>
            <w:vAlign w:val="center"/>
          </w:tcPr>
          <w:p w14:paraId="6C75D14E"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5.1. Profit distribution plan in 2023</w:t>
            </w:r>
          </w:p>
        </w:tc>
        <w:tc>
          <w:tcPr>
            <w:tcW w:w="2265" w:type="dxa"/>
            <w:shd w:val="clear" w:color="auto" w:fill="auto"/>
            <w:tcMar>
              <w:top w:w="0" w:type="dxa"/>
              <w:bottom w:w="0" w:type="dxa"/>
            </w:tcMar>
            <w:vAlign w:val="center"/>
          </w:tcPr>
          <w:p w14:paraId="7EEB84F5" w14:textId="77777777" w:rsidR="00FB53E4" w:rsidRDefault="00FB53E4">
            <w:pPr>
              <w:tabs>
                <w:tab w:val="left" w:pos="450"/>
              </w:tabs>
              <w:spacing w:after="120" w:line="360" w:lineRule="auto"/>
              <w:rPr>
                <w:rFonts w:ascii="Arial" w:eastAsia="Arial" w:hAnsi="Arial" w:cs="Arial"/>
                <w:color w:val="010000"/>
                <w:sz w:val="20"/>
                <w:szCs w:val="20"/>
              </w:rPr>
            </w:pPr>
          </w:p>
        </w:tc>
      </w:tr>
      <w:tr w:rsidR="00FB53E4" w14:paraId="64D13B6C" w14:textId="77777777">
        <w:tc>
          <w:tcPr>
            <w:tcW w:w="6752" w:type="dxa"/>
            <w:shd w:val="clear" w:color="auto" w:fill="auto"/>
            <w:tcMar>
              <w:top w:w="0" w:type="dxa"/>
              <w:bottom w:w="0" w:type="dxa"/>
            </w:tcMar>
            <w:vAlign w:val="center"/>
          </w:tcPr>
          <w:p w14:paraId="61E3540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Undistributed profit after tax:</w:t>
            </w:r>
          </w:p>
        </w:tc>
        <w:tc>
          <w:tcPr>
            <w:tcW w:w="2265" w:type="dxa"/>
            <w:shd w:val="clear" w:color="auto" w:fill="auto"/>
            <w:tcMar>
              <w:top w:w="0" w:type="dxa"/>
              <w:bottom w:w="0" w:type="dxa"/>
            </w:tcMar>
            <w:vAlign w:val="center"/>
          </w:tcPr>
          <w:p w14:paraId="691BA68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161,802,727,790</w:t>
            </w:r>
          </w:p>
        </w:tc>
      </w:tr>
      <w:tr w:rsidR="00FB53E4" w14:paraId="6F472402" w14:textId="77777777">
        <w:tc>
          <w:tcPr>
            <w:tcW w:w="6752" w:type="dxa"/>
            <w:shd w:val="clear" w:color="auto" w:fill="auto"/>
            <w:tcMar>
              <w:top w:w="0" w:type="dxa"/>
              <w:bottom w:w="0" w:type="dxa"/>
            </w:tcMar>
            <w:vAlign w:val="center"/>
          </w:tcPr>
          <w:p w14:paraId="49E19405" w14:textId="51C86543"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 </w:t>
            </w:r>
            <w:r w:rsidR="00EE463D">
              <w:rPr>
                <w:rFonts w:ascii="Arial" w:hAnsi="Arial"/>
                <w:color w:val="010000"/>
                <w:sz w:val="20"/>
              </w:rPr>
              <w:t>Transferred</w:t>
            </w:r>
            <w:r>
              <w:rPr>
                <w:rFonts w:ascii="Arial" w:hAnsi="Arial"/>
                <w:color w:val="010000"/>
                <w:sz w:val="20"/>
              </w:rPr>
              <w:t xml:space="preserve"> from 2022: </w:t>
            </w:r>
          </w:p>
        </w:tc>
        <w:tc>
          <w:tcPr>
            <w:tcW w:w="2265" w:type="dxa"/>
            <w:shd w:val="clear" w:color="auto" w:fill="auto"/>
            <w:tcMar>
              <w:top w:w="0" w:type="dxa"/>
              <w:bottom w:w="0" w:type="dxa"/>
            </w:tcMar>
            <w:vAlign w:val="center"/>
          </w:tcPr>
          <w:p w14:paraId="6DF8725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68,723,927,225 </w:t>
            </w:r>
          </w:p>
        </w:tc>
      </w:tr>
      <w:tr w:rsidR="00FB53E4" w14:paraId="20BF425A" w14:textId="77777777">
        <w:tc>
          <w:tcPr>
            <w:tcW w:w="6752" w:type="dxa"/>
            <w:shd w:val="clear" w:color="auto" w:fill="auto"/>
            <w:tcMar>
              <w:top w:w="0" w:type="dxa"/>
              <w:bottom w:w="0" w:type="dxa"/>
            </w:tcMar>
            <w:vAlign w:val="center"/>
          </w:tcPr>
          <w:p w14:paraId="173D47C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Profit after tax in 2023:</w:t>
            </w:r>
          </w:p>
        </w:tc>
        <w:tc>
          <w:tcPr>
            <w:tcW w:w="2265" w:type="dxa"/>
            <w:shd w:val="clear" w:color="auto" w:fill="auto"/>
            <w:tcMar>
              <w:top w:w="0" w:type="dxa"/>
              <w:bottom w:w="0" w:type="dxa"/>
            </w:tcMar>
            <w:vAlign w:val="center"/>
          </w:tcPr>
          <w:p w14:paraId="24F687A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93,078,800,565</w:t>
            </w:r>
          </w:p>
        </w:tc>
      </w:tr>
      <w:tr w:rsidR="00FB53E4" w14:paraId="448A8025" w14:textId="77777777">
        <w:tc>
          <w:tcPr>
            <w:tcW w:w="6752" w:type="dxa"/>
            <w:shd w:val="clear" w:color="auto" w:fill="auto"/>
            <w:tcMar>
              <w:top w:w="0" w:type="dxa"/>
              <w:bottom w:w="0" w:type="dxa"/>
            </w:tcMar>
            <w:vAlign w:val="center"/>
          </w:tcPr>
          <w:p w14:paraId="6461360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Dividend payment in cash (20% of charter capital):</w:t>
            </w:r>
          </w:p>
        </w:tc>
        <w:tc>
          <w:tcPr>
            <w:tcW w:w="2265" w:type="dxa"/>
            <w:shd w:val="clear" w:color="auto" w:fill="auto"/>
            <w:tcMar>
              <w:top w:w="0" w:type="dxa"/>
              <w:bottom w:w="0" w:type="dxa"/>
            </w:tcMar>
            <w:vAlign w:val="center"/>
          </w:tcPr>
          <w:p w14:paraId="0061D73A"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90,000,000,000</w:t>
            </w:r>
          </w:p>
        </w:tc>
      </w:tr>
      <w:tr w:rsidR="00FB53E4" w14:paraId="2D758221" w14:textId="77777777">
        <w:tc>
          <w:tcPr>
            <w:tcW w:w="6752" w:type="dxa"/>
            <w:shd w:val="clear" w:color="auto" w:fill="auto"/>
            <w:tcMar>
              <w:top w:w="0" w:type="dxa"/>
              <w:bottom w:w="0" w:type="dxa"/>
            </w:tcMar>
            <w:vAlign w:val="center"/>
          </w:tcPr>
          <w:p w14:paraId="1062EE8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Dividend payment (20% of charter capital):</w:t>
            </w:r>
          </w:p>
        </w:tc>
        <w:tc>
          <w:tcPr>
            <w:tcW w:w="2265" w:type="dxa"/>
            <w:shd w:val="clear" w:color="auto" w:fill="auto"/>
            <w:tcMar>
              <w:top w:w="0" w:type="dxa"/>
              <w:bottom w:w="0" w:type="dxa"/>
            </w:tcMar>
            <w:vAlign w:val="center"/>
          </w:tcPr>
          <w:p w14:paraId="3E646B4F"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90,000,000,000</w:t>
            </w:r>
          </w:p>
        </w:tc>
      </w:tr>
      <w:tr w:rsidR="00FB53E4" w14:paraId="09FEC501" w14:textId="77777777">
        <w:tc>
          <w:tcPr>
            <w:tcW w:w="6752" w:type="dxa"/>
            <w:shd w:val="clear" w:color="auto" w:fill="auto"/>
            <w:tcMar>
              <w:top w:w="0" w:type="dxa"/>
              <w:bottom w:w="0" w:type="dxa"/>
            </w:tcMar>
            <w:vAlign w:val="center"/>
          </w:tcPr>
          <w:p w14:paraId="100DE9F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Appropriation for Bonus and welfare fund (2% of profit after tax 2023):</w:t>
            </w:r>
          </w:p>
        </w:tc>
        <w:tc>
          <w:tcPr>
            <w:tcW w:w="2265" w:type="dxa"/>
            <w:shd w:val="clear" w:color="auto" w:fill="auto"/>
            <w:tcMar>
              <w:top w:w="0" w:type="dxa"/>
              <w:bottom w:w="0" w:type="dxa"/>
            </w:tcMar>
            <w:vAlign w:val="center"/>
          </w:tcPr>
          <w:p w14:paraId="00D517C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1,860,000,000</w:t>
            </w:r>
          </w:p>
        </w:tc>
      </w:tr>
      <w:tr w:rsidR="00FB53E4" w14:paraId="1DD70D3A" w14:textId="77777777">
        <w:tc>
          <w:tcPr>
            <w:tcW w:w="6752" w:type="dxa"/>
            <w:shd w:val="clear" w:color="auto" w:fill="auto"/>
            <w:tcMar>
              <w:top w:w="0" w:type="dxa"/>
              <w:bottom w:w="0" w:type="dxa"/>
            </w:tcMar>
            <w:vAlign w:val="center"/>
          </w:tcPr>
          <w:p w14:paraId="0DD86D5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 Appropriation for bonus fund of the managers: </w:t>
            </w:r>
          </w:p>
        </w:tc>
        <w:tc>
          <w:tcPr>
            <w:tcW w:w="2265" w:type="dxa"/>
            <w:shd w:val="clear" w:color="auto" w:fill="auto"/>
            <w:tcMar>
              <w:top w:w="0" w:type="dxa"/>
              <w:bottom w:w="0" w:type="dxa"/>
            </w:tcMar>
            <w:vAlign w:val="center"/>
          </w:tcPr>
          <w:p w14:paraId="42E67303" w14:textId="2C970B23" w:rsidR="00FB53E4" w:rsidRDefault="007F771C">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639,000,000</w:t>
            </w:r>
          </w:p>
        </w:tc>
      </w:tr>
      <w:tr w:rsidR="00FB53E4" w14:paraId="69CB5027" w14:textId="77777777">
        <w:tc>
          <w:tcPr>
            <w:tcW w:w="6752" w:type="dxa"/>
            <w:shd w:val="clear" w:color="auto" w:fill="auto"/>
            <w:tcMar>
              <w:top w:w="0" w:type="dxa"/>
              <w:bottom w:w="0" w:type="dxa"/>
            </w:tcMar>
            <w:vAlign w:val="center"/>
          </w:tcPr>
          <w:p w14:paraId="5E231EA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Payment bonus for the Board of Directors and the Supervisory Board;</w:t>
            </w:r>
          </w:p>
        </w:tc>
        <w:tc>
          <w:tcPr>
            <w:tcW w:w="2265" w:type="dxa"/>
            <w:shd w:val="clear" w:color="auto" w:fill="auto"/>
            <w:tcMar>
              <w:top w:w="0" w:type="dxa"/>
              <w:bottom w:w="0" w:type="dxa"/>
            </w:tcMar>
            <w:vAlign w:val="center"/>
          </w:tcPr>
          <w:p w14:paraId="045C739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639,000,000</w:t>
            </w:r>
          </w:p>
        </w:tc>
      </w:tr>
      <w:tr w:rsidR="00FB53E4" w14:paraId="2CB70B36" w14:textId="77777777">
        <w:tc>
          <w:tcPr>
            <w:tcW w:w="6752" w:type="dxa"/>
            <w:shd w:val="clear" w:color="auto" w:fill="auto"/>
            <w:tcMar>
              <w:top w:w="0" w:type="dxa"/>
              <w:bottom w:w="0" w:type="dxa"/>
            </w:tcMar>
            <w:vAlign w:val="center"/>
          </w:tcPr>
          <w:p w14:paraId="37CEE260"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2265" w:type="dxa"/>
            <w:shd w:val="clear" w:color="auto" w:fill="auto"/>
            <w:tcMar>
              <w:top w:w="0" w:type="dxa"/>
              <w:bottom w:w="0" w:type="dxa"/>
            </w:tcMar>
            <w:vAlign w:val="center"/>
          </w:tcPr>
          <w:p w14:paraId="16CF6088"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69,303,727,790</w:t>
            </w:r>
          </w:p>
        </w:tc>
      </w:tr>
      <w:tr w:rsidR="00FB53E4" w14:paraId="6A2BF070" w14:textId="77777777">
        <w:tc>
          <w:tcPr>
            <w:tcW w:w="6752" w:type="dxa"/>
            <w:shd w:val="clear" w:color="auto" w:fill="auto"/>
            <w:tcMar>
              <w:top w:w="0" w:type="dxa"/>
              <w:bottom w:w="0" w:type="dxa"/>
            </w:tcMar>
            <w:vAlign w:val="center"/>
          </w:tcPr>
          <w:p w14:paraId="0535ED3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5.2. Plan for 2024</w:t>
            </w:r>
          </w:p>
        </w:tc>
        <w:tc>
          <w:tcPr>
            <w:tcW w:w="2265" w:type="dxa"/>
            <w:shd w:val="clear" w:color="auto" w:fill="auto"/>
            <w:tcMar>
              <w:top w:w="0" w:type="dxa"/>
              <w:bottom w:w="0" w:type="dxa"/>
            </w:tcMar>
            <w:vAlign w:val="center"/>
          </w:tcPr>
          <w:p w14:paraId="00DAEFBE" w14:textId="77777777" w:rsidR="00FB53E4" w:rsidRDefault="00FB53E4">
            <w:pPr>
              <w:tabs>
                <w:tab w:val="left" w:pos="450"/>
              </w:tabs>
              <w:spacing w:after="120" w:line="360" w:lineRule="auto"/>
              <w:rPr>
                <w:rFonts w:ascii="Arial" w:eastAsia="Arial" w:hAnsi="Arial" w:cs="Arial"/>
                <w:color w:val="010000"/>
                <w:sz w:val="20"/>
                <w:szCs w:val="20"/>
              </w:rPr>
            </w:pPr>
          </w:p>
        </w:tc>
      </w:tr>
      <w:tr w:rsidR="00FB53E4" w14:paraId="49F20C8F" w14:textId="77777777">
        <w:tc>
          <w:tcPr>
            <w:tcW w:w="6752" w:type="dxa"/>
            <w:shd w:val="clear" w:color="auto" w:fill="auto"/>
            <w:tcMar>
              <w:top w:w="0" w:type="dxa"/>
              <w:bottom w:w="0" w:type="dxa"/>
            </w:tcMar>
            <w:vAlign w:val="center"/>
          </w:tcPr>
          <w:p w14:paraId="32B3DD2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 Production and business plan in 2024</w:t>
            </w:r>
          </w:p>
        </w:tc>
        <w:tc>
          <w:tcPr>
            <w:tcW w:w="2265" w:type="dxa"/>
            <w:shd w:val="clear" w:color="auto" w:fill="auto"/>
            <w:tcMar>
              <w:top w:w="0" w:type="dxa"/>
              <w:bottom w:w="0" w:type="dxa"/>
            </w:tcMar>
            <w:vAlign w:val="center"/>
          </w:tcPr>
          <w:p w14:paraId="39388FD1" w14:textId="77777777" w:rsidR="00FB53E4" w:rsidRDefault="00FB53E4">
            <w:pPr>
              <w:tabs>
                <w:tab w:val="left" w:pos="450"/>
              </w:tabs>
              <w:spacing w:after="120" w:line="360" w:lineRule="auto"/>
              <w:rPr>
                <w:rFonts w:ascii="Arial" w:eastAsia="Arial" w:hAnsi="Arial" w:cs="Arial"/>
                <w:color w:val="010000"/>
                <w:sz w:val="20"/>
                <w:szCs w:val="20"/>
              </w:rPr>
            </w:pPr>
          </w:p>
        </w:tc>
      </w:tr>
      <w:tr w:rsidR="00FB53E4" w14:paraId="5A0CD428" w14:textId="77777777">
        <w:tc>
          <w:tcPr>
            <w:tcW w:w="6752" w:type="dxa"/>
            <w:shd w:val="clear" w:color="auto" w:fill="auto"/>
            <w:tcMar>
              <w:top w:w="0" w:type="dxa"/>
              <w:bottom w:w="0" w:type="dxa"/>
            </w:tcMar>
            <w:vAlign w:val="center"/>
          </w:tcPr>
          <w:p w14:paraId="65D8964D"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Total revenue</w:t>
            </w:r>
          </w:p>
        </w:tc>
        <w:tc>
          <w:tcPr>
            <w:tcW w:w="2265" w:type="dxa"/>
            <w:shd w:val="clear" w:color="auto" w:fill="auto"/>
            <w:tcMar>
              <w:top w:w="0" w:type="dxa"/>
              <w:bottom w:w="0" w:type="dxa"/>
            </w:tcMar>
            <w:vAlign w:val="center"/>
          </w:tcPr>
          <w:p w14:paraId="410AE55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208,956,000,000</w:t>
            </w:r>
          </w:p>
        </w:tc>
      </w:tr>
      <w:tr w:rsidR="00FB53E4" w14:paraId="7498E3DA" w14:textId="77777777">
        <w:tc>
          <w:tcPr>
            <w:tcW w:w="6752" w:type="dxa"/>
            <w:shd w:val="clear" w:color="auto" w:fill="auto"/>
            <w:tcMar>
              <w:top w:w="0" w:type="dxa"/>
              <w:bottom w:w="0" w:type="dxa"/>
            </w:tcMar>
            <w:vAlign w:val="center"/>
          </w:tcPr>
          <w:p w14:paraId="3933DA0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Profit before tax</w:t>
            </w:r>
          </w:p>
        </w:tc>
        <w:tc>
          <w:tcPr>
            <w:tcW w:w="2265" w:type="dxa"/>
            <w:shd w:val="clear" w:color="auto" w:fill="auto"/>
            <w:tcMar>
              <w:top w:w="0" w:type="dxa"/>
              <w:bottom w:w="0" w:type="dxa"/>
            </w:tcMar>
            <w:vAlign w:val="center"/>
          </w:tcPr>
          <w:p w14:paraId="1540DE3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95,854,000,000</w:t>
            </w:r>
          </w:p>
        </w:tc>
      </w:tr>
      <w:tr w:rsidR="00FB53E4" w14:paraId="0B6782BA" w14:textId="77777777">
        <w:tc>
          <w:tcPr>
            <w:tcW w:w="6752" w:type="dxa"/>
            <w:shd w:val="clear" w:color="auto" w:fill="auto"/>
            <w:tcMar>
              <w:top w:w="0" w:type="dxa"/>
              <w:bottom w:w="0" w:type="dxa"/>
            </w:tcMar>
            <w:vAlign w:val="center"/>
          </w:tcPr>
          <w:p w14:paraId="286A0B2C"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Total profit after tax</w:t>
            </w:r>
          </w:p>
        </w:tc>
        <w:tc>
          <w:tcPr>
            <w:tcW w:w="2265" w:type="dxa"/>
            <w:shd w:val="clear" w:color="auto" w:fill="auto"/>
            <w:tcMar>
              <w:top w:w="0" w:type="dxa"/>
              <w:bottom w:w="0" w:type="dxa"/>
            </w:tcMar>
            <w:vAlign w:val="center"/>
          </w:tcPr>
          <w:p w14:paraId="073B5CE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77,454,000,000</w:t>
            </w:r>
          </w:p>
        </w:tc>
      </w:tr>
      <w:tr w:rsidR="00FB53E4" w14:paraId="5B0087CE" w14:textId="77777777">
        <w:tc>
          <w:tcPr>
            <w:tcW w:w="6752" w:type="dxa"/>
            <w:shd w:val="clear" w:color="auto" w:fill="auto"/>
            <w:tcMar>
              <w:top w:w="0" w:type="dxa"/>
              <w:bottom w:w="0" w:type="dxa"/>
            </w:tcMar>
            <w:vAlign w:val="center"/>
          </w:tcPr>
          <w:p w14:paraId="1D0EE2A1"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 Plan on profit distribution for 2024</w:t>
            </w:r>
          </w:p>
        </w:tc>
        <w:tc>
          <w:tcPr>
            <w:tcW w:w="2265" w:type="dxa"/>
            <w:shd w:val="clear" w:color="auto" w:fill="auto"/>
            <w:tcMar>
              <w:top w:w="0" w:type="dxa"/>
              <w:bottom w:w="0" w:type="dxa"/>
            </w:tcMar>
            <w:vAlign w:val="center"/>
          </w:tcPr>
          <w:p w14:paraId="5F18F1C9" w14:textId="77777777" w:rsidR="00FB53E4" w:rsidRDefault="00FB53E4">
            <w:pPr>
              <w:tabs>
                <w:tab w:val="left" w:pos="450"/>
              </w:tabs>
              <w:spacing w:after="120" w:line="360" w:lineRule="auto"/>
              <w:rPr>
                <w:rFonts w:ascii="Arial" w:eastAsia="Arial" w:hAnsi="Arial" w:cs="Arial"/>
                <w:color w:val="010000"/>
                <w:sz w:val="20"/>
                <w:szCs w:val="20"/>
              </w:rPr>
            </w:pPr>
          </w:p>
        </w:tc>
      </w:tr>
      <w:tr w:rsidR="00FB53E4" w14:paraId="7FD7DE2A" w14:textId="77777777">
        <w:tc>
          <w:tcPr>
            <w:tcW w:w="6752" w:type="dxa"/>
            <w:shd w:val="clear" w:color="auto" w:fill="auto"/>
            <w:tcMar>
              <w:top w:w="0" w:type="dxa"/>
              <w:bottom w:w="0" w:type="dxa"/>
            </w:tcMar>
            <w:vAlign w:val="center"/>
          </w:tcPr>
          <w:p w14:paraId="3E66D73B"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 Appropriations for bonus and welfare fund:</w:t>
            </w:r>
          </w:p>
        </w:tc>
        <w:tc>
          <w:tcPr>
            <w:tcW w:w="2265" w:type="dxa"/>
            <w:shd w:val="clear" w:color="auto" w:fill="auto"/>
            <w:tcMar>
              <w:top w:w="0" w:type="dxa"/>
              <w:bottom w:w="0" w:type="dxa"/>
            </w:tcMar>
            <w:vAlign w:val="center"/>
          </w:tcPr>
          <w:p w14:paraId="0A5BD3C5"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 of charter capital of 2024</w:t>
            </w:r>
          </w:p>
        </w:tc>
      </w:tr>
      <w:tr w:rsidR="00FB53E4" w14:paraId="570D3E9E" w14:textId="77777777">
        <w:tc>
          <w:tcPr>
            <w:tcW w:w="6752" w:type="dxa"/>
            <w:shd w:val="clear" w:color="auto" w:fill="auto"/>
            <w:tcMar>
              <w:top w:w="0" w:type="dxa"/>
              <w:bottom w:w="0" w:type="dxa"/>
            </w:tcMar>
            <w:vAlign w:val="center"/>
          </w:tcPr>
          <w:p w14:paraId="1772FAE7"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Dividend payment by cash:</w:t>
            </w:r>
          </w:p>
        </w:tc>
        <w:tc>
          <w:tcPr>
            <w:tcW w:w="2265" w:type="dxa"/>
            <w:shd w:val="clear" w:color="auto" w:fill="auto"/>
            <w:tcMar>
              <w:top w:w="0" w:type="dxa"/>
              <w:bottom w:w="0" w:type="dxa"/>
            </w:tcMar>
            <w:vAlign w:val="center"/>
          </w:tcPr>
          <w:p w14:paraId="31103D52" w14:textId="77777777" w:rsidR="00FB53E4" w:rsidRDefault="00FB602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20%/Charter capital:</w:t>
            </w:r>
          </w:p>
        </w:tc>
      </w:tr>
    </w:tbl>
    <w:p w14:paraId="32280658" w14:textId="7012794A" w:rsidR="00FB53E4" w:rsidRDefault="00FB6020" w:rsidP="007F771C">
      <w:pPr>
        <w:numPr>
          <w:ilvl w:val="0"/>
          <w:numId w:val="12"/>
        </w:numPr>
        <w:pBdr>
          <w:top w:val="nil"/>
          <w:left w:val="nil"/>
          <w:bottom w:val="nil"/>
          <w:right w:val="nil"/>
          <w:between w:val="nil"/>
        </w:pBdr>
        <w:tabs>
          <w:tab w:val="left" w:pos="450"/>
          <w:tab w:val="left" w:pos="954"/>
        </w:tabs>
        <w:spacing w:after="120" w:line="360" w:lineRule="auto"/>
        <w:jc w:val="both"/>
        <w:rPr>
          <w:color w:val="010000"/>
          <w:sz w:val="20"/>
          <w:szCs w:val="20"/>
        </w:rPr>
      </w:pPr>
      <w:r>
        <w:rPr>
          <w:rFonts w:ascii="Arial" w:hAnsi="Arial"/>
          <w:color w:val="010000"/>
          <w:sz w:val="20"/>
        </w:rPr>
        <w:t>Total remuneration and bonus for</w:t>
      </w:r>
      <w:r w:rsidR="007F771C">
        <w:rPr>
          <w:rFonts w:ascii="Arial" w:hAnsi="Arial"/>
          <w:color w:val="010000"/>
          <w:sz w:val="20"/>
        </w:rPr>
        <w:t xml:space="preserve"> the Board of Directors and </w:t>
      </w:r>
      <w:r>
        <w:rPr>
          <w:rFonts w:ascii="Arial" w:hAnsi="Arial"/>
          <w:color w:val="010000"/>
          <w:sz w:val="20"/>
        </w:rPr>
        <w:t xml:space="preserve">Supervisory Board of the Company in 2023 and the plan for 2024: </w:t>
      </w:r>
    </w:p>
    <w:p w14:paraId="44883ABB" w14:textId="6DBA7BCE" w:rsidR="00FB53E4" w:rsidRDefault="007F771C" w:rsidP="007F771C">
      <w:pPr>
        <w:numPr>
          <w:ilvl w:val="1"/>
          <w:numId w:val="12"/>
        </w:numPr>
        <w:pBdr>
          <w:top w:val="nil"/>
          <w:left w:val="nil"/>
          <w:bottom w:val="nil"/>
          <w:right w:val="nil"/>
          <w:between w:val="nil"/>
        </w:pBdr>
        <w:tabs>
          <w:tab w:val="left" w:pos="450"/>
          <w:tab w:val="left" w:pos="1170"/>
        </w:tabs>
        <w:spacing w:after="120" w:line="360" w:lineRule="auto"/>
        <w:jc w:val="both"/>
        <w:rPr>
          <w:color w:val="010000"/>
          <w:sz w:val="20"/>
          <w:szCs w:val="20"/>
        </w:rPr>
      </w:pPr>
      <w:r>
        <w:rPr>
          <w:rFonts w:ascii="Arial" w:hAnsi="Arial"/>
          <w:color w:val="010000"/>
          <w:sz w:val="20"/>
        </w:rPr>
        <w:t>T</w:t>
      </w:r>
      <w:r w:rsidR="00FB6020">
        <w:rPr>
          <w:rFonts w:ascii="Arial" w:hAnsi="Arial"/>
          <w:color w:val="010000"/>
          <w:sz w:val="20"/>
        </w:rPr>
        <w:t>otal payment for remuneration o</w:t>
      </w:r>
      <w:r>
        <w:rPr>
          <w:rFonts w:ascii="Arial" w:hAnsi="Arial"/>
          <w:color w:val="010000"/>
          <w:sz w:val="20"/>
        </w:rPr>
        <w:t>f the Board of Directors and</w:t>
      </w:r>
      <w:r w:rsidR="00FB6020">
        <w:rPr>
          <w:rFonts w:ascii="Arial" w:hAnsi="Arial"/>
          <w:color w:val="010000"/>
          <w:sz w:val="20"/>
        </w:rPr>
        <w:t xml:space="preserve"> Supervisory Board of the Company in 2023 was VND 598,000,000</w:t>
      </w:r>
    </w:p>
    <w:p w14:paraId="3941ECD4"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In which: </w:t>
      </w:r>
    </w:p>
    <w:p w14:paraId="31275323" w14:textId="77777777" w:rsidR="00FB53E4" w:rsidRDefault="00FB6020" w:rsidP="007F771C">
      <w:pPr>
        <w:numPr>
          <w:ilvl w:val="0"/>
          <w:numId w:val="1"/>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The Board of Directors: VND 429,000,000.</w:t>
      </w:r>
    </w:p>
    <w:p w14:paraId="4CAD428D" w14:textId="77777777" w:rsidR="00FB53E4" w:rsidRDefault="00FB6020" w:rsidP="007F771C">
      <w:pPr>
        <w:numPr>
          <w:ilvl w:val="0"/>
          <w:numId w:val="1"/>
        </w:numPr>
        <w:pBdr>
          <w:top w:val="nil"/>
          <w:left w:val="nil"/>
          <w:bottom w:val="nil"/>
          <w:right w:val="nil"/>
          <w:between w:val="nil"/>
        </w:pBdr>
        <w:tabs>
          <w:tab w:val="left" w:pos="450"/>
          <w:tab w:val="left" w:pos="2827"/>
        </w:tabs>
        <w:spacing w:after="120" w:line="360" w:lineRule="auto"/>
        <w:ind w:left="0" w:firstLine="0"/>
        <w:jc w:val="both"/>
        <w:rPr>
          <w:color w:val="010000"/>
          <w:sz w:val="20"/>
          <w:szCs w:val="20"/>
        </w:rPr>
      </w:pPr>
      <w:r>
        <w:rPr>
          <w:rFonts w:ascii="Arial" w:hAnsi="Arial"/>
          <w:color w:val="010000"/>
          <w:sz w:val="20"/>
        </w:rPr>
        <w:t>The Supervisory Board:  VND 169,000,000.</w:t>
      </w:r>
    </w:p>
    <w:p w14:paraId="2DDEF716" w14:textId="77777777" w:rsidR="00FB53E4" w:rsidRDefault="00FB6020" w:rsidP="007F771C">
      <w:pPr>
        <w:numPr>
          <w:ilvl w:val="1"/>
          <w:numId w:val="12"/>
        </w:numPr>
        <w:pBdr>
          <w:top w:val="nil"/>
          <w:left w:val="nil"/>
          <w:bottom w:val="nil"/>
          <w:right w:val="nil"/>
          <w:between w:val="nil"/>
        </w:pBdr>
        <w:tabs>
          <w:tab w:val="left" w:pos="450"/>
          <w:tab w:val="left" w:pos="1170"/>
        </w:tabs>
        <w:spacing w:after="120" w:line="360" w:lineRule="auto"/>
        <w:jc w:val="both"/>
        <w:rPr>
          <w:color w:val="010000"/>
          <w:sz w:val="20"/>
          <w:szCs w:val="20"/>
        </w:rPr>
      </w:pPr>
      <w:r>
        <w:rPr>
          <w:rFonts w:ascii="Arial" w:hAnsi="Arial"/>
          <w:color w:val="010000"/>
          <w:sz w:val="20"/>
        </w:rPr>
        <w:t>Plan for total Remuneration payment and bonus of the Board of Directors and the Supervisory Board of the Company in 2024 is: VND 1,211,000,000, specifically as follows:</w:t>
      </w:r>
    </w:p>
    <w:p w14:paraId="5DB9D4FE" w14:textId="77777777" w:rsidR="00FB53E4" w:rsidRDefault="00FB6020" w:rsidP="007F771C">
      <w:pPr>
        <w:numPr>
          <w:ilvl w:val="1"/>
          <w:numId w:val="10"/>
        </w:numPr>
        <w:pBdr>
          <w:top w:val="nil"/>
          <w:left w:val="nil"/>
          <w:bottom w:val="nil"/>
          <w:right w:val="nil"/>
          <w:between w:val="nil"/>
        </w:pBdr>
        <w:tabs>
          <w:tab w:val="left" w:pos="450"/>
          <w:tab w:val="left" w:pos="1080"/>
        </w:tabs>
        <w:spacing w:after="120" w:line="360" w:lineRule="auto"/>
        <w:ind w:left="0" w:firstLine="0"/>
        <w:jc w:val="both"/>
        <w:rPr>
          <w:color w:val="010000"/>
          <w:sz w:val="20"/>
          <w:szCs w:val="20"/>
        </w:rPr>
      </w:pPr>
      <w:r>
        <w:rPr>
          <w:rFonts w:ascii="Arial" w:hAnsi="Arial"/>
          <w:color w:val="010000"/>
          <w:sz w:val="20"/>
        </w:rPr>
        <w:t>Total Remuneration and bonus of the Board of Directors of the Company is: VND 862,000,000. The remuneration for each member decided by the Board of Directors of the Company on the principle of consensus.</w:t>
      </w:r>
    </w:p>
    <w:p w14:paraId="3D2CF17C" w14:textId="77777777" w:rsidR="00FB53E4" w:rsidRDefault="00FB6020" w:rsidP="007F771C">
      <w:pPr>
        <w:numPr>
          <w:ilvl w:val="1"/>
          <w:numId w:val="10"/>
        </w:numPr>
        <w:pBdr>
          <w:top w:val="nil"/>
          <w:left w:val="nil"/>
          <w:bottom w:val="nil"/>
          <w:right w:val="nil"/>
          <w:between w:val="nil"/>
        </w:pBdr>
        <w:tabs>
          <w:tab w:val="left" w:pos="450"/>
          <w:tab w:val="left" w:pos="1080"/>
        </w:tabs>
        <w:spacing w:after="120" w:line="360" w:lineRule="auto"/>
        <w:ind w:left="0" w:firstLine="0"/>
        <w:jc w:val="both"/>
        <w:rPr>
          <w:color w:val="010000"/>
          <w:sz w:val="20"/>
          <w:szCs w:val="20"/>
        </w:rPr>
      </w:pPr>
      <w:r>
        <w:rPr>
          <w:rFonts w:ascii="Arial" w:hAnsi="Arial"/>
          <w:color w:val="010000"/>
          <w:sz w:val="20"/>
        </w:rPr>
        <w:t>Total Remuneration, bonus of the Supervisory Board of the Company is VND 349,000,000.</w:t>
      </w:r>
    </w:p>
    <w:p w14:paraId="0038FA64" w14:textId="77777777" w:rsidR="00FB53E4" w:rsidRDefault="00FB6020" w:rsidP="007F771C">
      <w:pPr>
        <w:numPr>
          <w:ilvl w:val="0"/>
          <w:numId w:val="12"/>
        </w:numPr>
        <w:pBdr>
          <w:top w:val="nil"/>
          <w:left w:val="nil"/>
          <w:bottom w:val="nil"/>
          <w:right w:val="nil"/>
          <w:between w:val="nil"/>
        </w:pBdr>
        <w:tabs>
          <w:tab w:val="left" w:pos="450"/>
          <w:tab w:val="left" w:pos="954"/>
        </w:tabs>
        <w:spacing w:after="120" w:line="360" w:lineRule="auto"/>
        <w:jc w:val="both"/>
        <w:rPr>
          <w:color w:val="010000"/>
          <w:sz w:val="20"/>
          <w:szCs w:val="20"/>
        </w:rPr>
      </w:pPr>
      <w:r>
        <w:rPr>
          <w:rFonts w:ascii="Arial" w:hAnsi="Arial"/>
          <w:color w:val="010000"/>
          <w:sz w:val="20"/>
        </w:rPr>
        <w:t>Select an independent audit company to audit the Financial Statements 2024 of the Company:</w:t>
      </w:r>
    </w:p>
    <w:p w14:paraId="24EA87BA" w14:textId="781A5617" w:rsidR="00FB53E4" w:rsidRDefault="00FB6020" w:rsidP="007F771C">
      <w:pPr>
        <w:numPr>
          <w:ilvl w:val="0"/>
          <w:numId w:val="13"/>
        </w:numPr>
        <w:pBdr>
          <w:top w:val="nil"/>
          <w:left w:val="nil"/>
          <w:bottom w:val="nil"/>
          <w:right w:val="nil"/>
          <w:between w:val="nil"/>
        </w:pBdr>
        <w:tabs>
          <w:tab w:val="left" w:pos="450"/>
          <w:tab w:val="left" w:pos="848"/>
        </w:tabs>
        <w:spacing w:after="120" w:line="360" w:lineRule="auto"/>
        <w:jc w:val="both"/>
        <w:rPr>
          <w:color w:val="010000"/>
          <w:sz w:val="20"/>
          <w:szCs w:val="20"/>
        </w:rPr>
      </w:pPr>
      <w:r>
        <w:rPr>
          <w:rFonts w:ascii="Arial" w:hAnsi="Arial"/>
          <w:color w:val="010000"/>
          <w:sz w:val="20"/>
        </w:rPr>
        <w:t>The selected audit company is an audit company operating legally in Vietnam and is on the list of audit company that are eligible to provide audit services to entities with public interest in the field of securities approved by the Ministry of Finance and the State Securities Commission per Decision No. 2559/QD-BTC dated November 20,2023; having no conflict of interest; having a reputation for audit quality; a</w:t>
      </w:r>
      <w:r w:rsidR="00C47FD5">
        <w:rPr>
          <w:rFonts w:ascii="Arial" w:hAnsi="Arial"/>
          <w:color w:val="010000"/>
          <w:sz w:val="20"/>
        </w:rPr>
        <w:t>n</w:t>
      </w:r>
      <w:r>
        <w:rPr>
          <w:rFonts w:ascii="Arial" w:hAnsi="Arial"/>
          <w:color w:val="010000"/>
          <w:sz w:val="20"/>
        </w:rPr>
        <w:t xml:space="preserve">d having audit fees appropriate to the quality and scope of the audit. </w:t>
      </w:r>
    </w:p>
    <w:p w14:paraId="5465A34B" w14:textId="77777777" w:rsidR="00FB53E4" w:rsidRDefault="00FB6020" w:rsidP="007F771C">
      <w:pPr>
        <w:numPr>
          <w:ilvl w:val="0"/>
          <w:numId w:val="13"/>
        </w:numPr>
        <w:pBdr>
          <w:top w:val="nil"/>
          <w:left w:val="nil"/>
          <w:bottom w:val="nil"/>
          <w:right w:val="nil"/>
          <w:between w:val="nil"/>
        </w:pBdr>
        <w:tabs>
          <w:tab w:val="left" w:pos="450"/>
          <w:tab w:val="left" w:pos="848"/>
        </w:tabs>
        <w:spacing w:after="120" w:line="360" w:lineRule="auto"/>
        <w:jc w:val="both"/>
        <w:rPr>
          <w:color w:val="010000"/>
          <w:sz w:val="20"/>
          <w:szCs w:val="20"/>
        </w:rPr>
      </w:pPr>
      <w:r>
        <w:rPr>
          <w:rFonts w:ascii="Arial" w:hAnsi="Arial"/>
          <w:color w:val="010000"/>
          <w:sz w:val="20"/>
        </w:rPr>
        <w:t>Authorize the Board of Directors to choose one from the following six companies to audit the Financial Statements 2024:</w:t>
      </w:r>
    </w:p>
    <w:p w14:paraId="5A36495D" w14:textId="77777777" w:rsidR="00FB53E4" w:rsidRDefault="00FB6020" w:rsidP="007F771C">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CPA Vietnam Auditing Company Limited (Enterprise code: 0101917917) Address: 8rd-floor, VG Building, No. 235 Nguyen </w:t>
      </w:r>
      <w:proofErr w:type="spellStart"/>
      <w:r>
        <w:rPr>
          <w:rFonts w:ascii="Arial" w:hAnsi="Arial"/>
          <w:color w:val="010000"/>
          <w:sz w:val="20"/>
        </w:rPr>
        <w:t>Trai</w:t>
      </w:r>
      <w:proofErr w:type="spellEnd"/>
      <w:r>
        <w:rPr>
          <w:rFonts w:ascii="Arial" w:hAnsi="Arial"/>
          <w:color w:val="010000"/>
          <w:sz w:val="20"/>
        </w:rPr>
        <w:t xml:space="preserve"> </w:t>
      </w:r>
      <w:proofErr w:type="spellStart"/>
      <w:proofErr w:type="gramStart"/>
      <w:r>
        <w:rPr>
          <w:rFonts w:ascii="Arial" w:hAnsi="Arial"/>
          <w:color w:val="010000"/>
          <w:sz w:val="20"/>
        </w:rPr>
        <w:t>Street,Thanh</w:t>
      </w:r>
      <w:proofErr w:type="spellEnd"/>
      <w:proofErr w:type="gramEnd"/>
      <w:r>
        <w:rPr>
          <w:rFonts w:ascii="Arial" w:hAnsi="Arial"/>
          <w:color w:val="010000"/>
          <w:sz w:val="20"/>
        </w:rPr>
        <w:t xml:space="preserve"> Xuan </w:t>
      </w:r>
      <w:proofErr w:type="spellStart"/>
      <w:r>
        <w:rPr>
          <w:rFonts w:ascii="Arial" w:hAnsi="Arial"/>
          <w:color w:val="010000"/>
          <w:sz w:val="20"/>
        </w:rPr>
        <w:t>Trung</w:t>
      </w:r>
      <w:proofErr w:type="spellEnd"/>
      <w:r>
        <w:rPr>
          <w:rFonts w:ascii="Arial" w:hAnsi="Arial"/>
          <w:color w:val="010000"/>
          <w:sz w:val="20"/>
        </w:rPr>
        <w:t xml:space="preserve"> Ward, Thanh Xuan District, Hanoi, Vietnam.</w:t>
      </w:r>
    </w:p>
    <w:p w14:paraId="6FA95BCF" w14:textId="77777777" w:rsidR="00FB53E4" w:rsidRDefault="00FB6020" w:rsidP="007F771C">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PwC (Vietnam) Limited (Enterprise code: 0100157406)</w:t>
      </w:r>
    </w:p>
    <w:p w14:paraId="4F340B09" w14:textId="5EC89822"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Address: No. 29 Le </w:t>
      </w:r>
      <w:proofErr w:type="spellStart"/>
      <w:r>
        <w:rPr>
          <w:rFonts w:ascii="Arial" w:hAnsi="Arial"/>
          <w:color w:val="010000"/>
          <w:sz w:val="20"/>
        </w:rPr>
        <w:t>Duan</w:t>
      </w:r>
      <w:proofErr w:type="spellEnd"/>
      <w:r>
        <w:rPr>
          <w:rFonts w:ascii="Arial" w:hAnsi="Arial"/>
          <w:color w:val="010000"/>
          <w:sz w:val="20"/>
        </w:rPr>
        <w:t xml:space="preserve"> </w:t>
      </w:r>
      <w:r w:rsidR="007F771C">
        <w:rPr>
          <w:rFonts w:ascii="Arial" w:hAnsi="Arial"/>
          <w:color w:val="010000"/>
          <w:sz w:val="20"/>
        </w:rPr>
        <w:t>Road</w:t>
      </w:r>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p w14:paraId="1A983568" w14:textId="77777777" w:rsidR="00FB53E4" w:rsidRDefault="00FB6020" w:rsidP="007F771C">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Ernst &amp; Young Vietnam Limited (Enterprise code: 0300811802)</w:t>
      </w:r>
    </w:p>
    <w:p w14:paraId="5C45A827" w14:textId="03BC33A5"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Address: No. 2 Hai Trieu </w:t>
      </w:r>
      <w:r w:rsidR="007F771C">
        <w:rPr>
          <w:rFonts w:ascii="Arial" w:hAnsi="Arial"/>
          <w:color w:val="010000"/>
          <w:sz w:val="20"/>
        </w:rPr>
        <w:t>Road</w:t>
      </w:r>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p w14:paraId="7750C40B" w14:textId="689B877C" w:rsidR="00FB53E4" w:rsidRDefault="00FB6020" w:rsidP="007F771C">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KPMG Limited (Enterprise code: 0100112042)</w:t>
      </w:r>
    </w:p>
    <w:p w14:paraId="707DDF11"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Address: 46th floor, </w:t>
      </w:r>
      <w:proofErr w:type="spellStart"/>
      <w:r>
        <w:rPr>
          <w:rFonts w:ascii="Arial" w:hAnsi="Arial"/>
          <w:color w:val="010000"/>
          <w:sz w:val="20"/>
        </w:rPr>
        <w:t>Keangnam</w:t>
      </w:r>
      <w:proofErr w:type="spellEnd"/>
      <w:r>
        <w:rPr>
          <w:rFonts w:ascii="Arial" w:hAnsi="Arial"/>
          <w:color w:val="010000"/>
          <w:sz w:val="20"/>
        </w:rPr>
        <w:t xml:space="preserve"> Tower, Hanoi Landmark Tower, 72 Floor Building, Lot E6, Pham Hung Street,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New Urban Area, Me Tri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Vietnam.</w:t>
      </w:r>
    </w:p>
    <w:p w14:paraId="27E37FCB" w14:textId="77777777" w:rsidR="00FB53E4" w:rsidRDefault="00FB6020" w:rsidP="007F771C">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lastRenderedPageBreak/>
        <w:t xml:space="preserve">Deloitte Vietnam Audit Company Limited (Enterprise code: 0100112500; Address: Floor 15, </w:t>
      </w:r>
      <w:proofErr w:type="spellStart"/>
      <w:r>
        <w:rPr>
          <w:rFonts w:ascii="Arial" w:hAnsi="Arial"/>
          <w:color w:val="010000"/>
          <w:sz w:val="20"/>
        </w:rPr>
        <w:t>Vinaconex</w:t>
      </w:r>
      <w:proofErr w:type="spellEnd"/>
      <w:r>
        <w:rPr>
          <w:rFonts w:ascii="Arial" w:hAnsi="Arial"/>
          <w:color w:val="010000"/>
          <w:sz w:val="20"/>
        </w:rPr>
        <w:t xml:space="preserve"> Building, 34 Lang Ha Street, Lang Ha Ward, Dong Da District, Hanoi, Vietnam. </w:t>
      </w:r>
    </w:p>
    <w:p w14:paraId="5DAA68E2" w14:textId="7753B248" w:rsidR="00FB53E4" w:rsidRDefault="00FB6020" w:rsidP="007F771C">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DN Auditing and Consulting Company Limited (Enterprise code: 0300449815; Address: No. 02 Truong Son </w:t>
      </w:r>
      <w:r w:rsidR="007F771C">
        <w:rPr>
          <w:rFonts w:ascii="Arial" w:hAnsi="Arial"/>
          <w:color w:val="010000"/>
          <w:sz w:val="20"/>
        </w:rPr>
        <w:t>Road</w:t>
      </w:r>
      <w:r>
        <w:rPr>
          <w:rFonts w:ascii="Arial" w:hAnsi="Arial"/>
          <w:color w:val="010000"/>
          <w:sz w:val="20"/>
        </w:rPr>
        <w:t xml:space="preserve">, Ward 2, Tan </w:t>
      </w:r>
      <w:proofErr w:type="spellStart"/>
      <w:r>
        <w:rPr>
          <w:rFonts w:ascii="Arial" w:hAnsi="Arial"/>
          <w:color w:val="010000"/>
          <w:sz w:val="20"/>
        </w:rPr>
        <w:t>Binh</w:t>
      </w:r>
      <w:proofErr w:type="spellEnd"/>
      <w:r>
        <w:rPr>
          <w:rFonts w:ascii="Arial" w:hAnsi="Arial"/>
          <w:color w:val="010000"/>
          <w:sz w:val="20"/>
        </w:rPr>
        <w:t xml:space="preserve"> District, Ho Chi Minh City, Vietnam.</w:t>
      </w:r>
    </w:p>
    <w:p w14:paraId="6D8693A5" w14:textId="77777777" w:rsidR="00FB53E4" w:rsidRDefault="00FB6020" w:rsidP="007F771C">
      <w:pPr>
        <w:numPr>
          <w:ilvl w:val="0"/>
          <w:numId w:val="12"/>
        </w:numPr>
        <w:pBdr>
          <w:top w:val="nil"/>
          <w:left w:val="nil"/>
          <w:bottom w:val="nil"/>
          <w:right w:val="nil"/>
          <w:between w:val="nil"/>
        </w:pBdr>
        <w:tabs>
          <w:tab w:val="left" w:pos="450"/>
          <w:tab w:val="left" w:pos="954"/>
        </w:tabs>
        <w:spacing w:after="120" w:line="360" w:lineRule="auto"/>
        <w:jc w:val="both"/>
        <w:rPr>
          <w:color w:val="010000"/>
          <w:sz w:val="20"/>
          <w:szCs w:val="20"/>
        </w:rPr>
      </w:pPr>
      <w:r>
        <w:rPr>
          <w:rFonts w:ascii="Arial" w:hAnsi="Arial"/>
          <w:color w:val="010000"/>
          <w:sz w:val="20"/>
        </w:rPr>
        <w:t xml:space="preserve">Approve the amended and supplemented Charter of IDICO </w:t>
      </w:r>
      <w:proofErr w:type="spellStart"/>
      <w:r>
        <w:rPr>
          <w:rFonts w:ascii="Arial" w:hAnsi="Arial"/>
          <w:color w:val="010000"/>
          <w:sz w:val="20"/>
        </w:rPr>
        <w:t>Srok</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Hydropower </w:t>
      </w:r>
      <w:proofErr w:type="spellStart"/>
      <w:r>
        <w:rPr>
          <w:rFonts w:ascii="Arial" w:hAnsi="Arial"/>
          <w:color w:val="010000"/>
          <w:sz w:val="20"/>
        </w:rPr>
        <w:t>Jont</w:t>
      </w:r>
      <w:proofErr w:type="spellEnd"/>
      <w:r>
        <w:rPr>
          <w:rFonts w:ascii="Arial" w:hAnsi="Arial"/>
          <w:color w:val="010000"/>
          <w:sz w:val="20"/>
        </w:rPr>
        <w:t xml:space="preserve"> Stock Company.</w:t>
      </w:r>
    </w:p>
    <w:p w14:paraId="5EDB1035" w14:textId="77777777" w:rsidR="00FB53E4" w:rsidRDefault="00FB6020" w:rsidP="007F771C">
      <w:pPr>
        <w:numPr>
          <w:ilvl w:val="0"/>
          <w:numId w:val="13"/>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The new Company’s Charter will take effect from the date it is approved by the General Meeting of Shareholders and replaces the current Company’s Charter.</w:t>
      </w:r>
    </w:p>
    <w:p w14:paraId="1509B76B" w14:textId="77777777" w:rsidR="00FB53E4" w:rsidRDefault="00FB6020" w:rsidP="007F771C">
      <w:pPr>
        <w:numPr>
          <w:ilvl w:val="0"/>
          <w:numId w:val="12"/>
        </w:numPr>
        <w:pBdr>
          <w:top w:val="nil"/>
          <w:left w:val="nil"/>
          <w:bottom w:val="nil"/>
          <w:right w:val="nil"/>
          <w:between w:val="nil"/>
        </w:pBdr>
        <w:tabs>
          <w:tab w:val="left" w:pos="450"/>
          <w:tab w:val="left" w:pos="958"/>
        </w:tabs>
        <w:spacing w:after="120" w:line="360" w:lineRule="auto"/>
        <w:jc w:val="both"/>
        <w:rPr>
          <w:color w:val="010000"/>
          <w:sz w:val="20"/>
          <w:szCs w:val="20"/>
        </w:rPr>
      </w:pPr>
      <w:r>
        <w:rPr>
          <w:rFonts w:ascii="Arial" w:hAnsi="Arial"/>
          <w:color w:val="010000"/>
          <w:sz w:val="20"/>
        </w:rPr>
        <w:t xml:space="preserve">Approve the amended and supplemented Internal Regulations on Corporate Governance of DICO </w:t>
      </w:r>
      <w:proofErr w:type="spellStart"/>
      <w:r>
        <w:rPr>
          <w:rFonts w:ascii="Arial" w:hAnsi="Arial"/>
          <w:color w:val="010000"/>
          <w:sz w:val="20"/>
        </w:rPr>
        <w:t>Srok</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Hydropower </w:t>
      </w:r>
      <w:proofErr w:type="spellStart"/>
      <w:r>
        <w:rPr>
          <w:rFonts w:ascii="Arial" w:hAnsi="Arial"/>
          <w:color w:val="010000"/>
          <w:sz w:val="20"/>
        </w:rPr>
        <w:t>Jont</w:t>
      </w:r>
      <w:proofErr w:type="spellEnd"/>
      <w:r>
        <w:rPr>
          <w:rFonts w:ascii="Arial" w:hAnsi="Arial"/>
          <w:color w:val="010000"/>
          <w:sz w:val="20"/>
        </w:rPr>
        <w:t xml:space="preserve"> Stock Company (Governance Regulations).</w:t>
      </w:r>
    </w:p>
    <w:p w14:paraId="30CE4882" w14:textId="60EB6166" w:rsidR="00FB53E4" w:rsidRDefault="00FB6020" w:rsidP="007F771C">
      <w:pPr>
        <w:numPr>
          <w:ilvl w:val="0"/>
          <w:numId w:val="13"/>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 xml:space="preserve">The new Internal Regulations on Corporate Governance will take effect from the date it </w:t>
      </w:r>
      <w:proofErr w:type="spellStart"/>
      <w:r>
        <w:rPr>
          <w:rFonts w:ascii="Arial" w:hAnsi="Arial"/>
          <w:color w:val="010000"/>
          <w:sz w:val="20"/>
        </w:rPr>
        <w:t>i</w:t>
      </w:r>
      <w:proofErr w:type="spellEnd"/>
      <w:r>
        <w:rPr>
          <w:rFonts w:ascii="Arial" w:hAnsi="Arial"/>
          <w:color w:val="010000"/>
          <w:sz w:val="20"/>
        </w:rPr>
        <w:t xml:space="preserve"> approved by the General Meeting and replaces the current Internal Regulations on Corporate Governance.</w:t>
      </w:r>
    </w:p>
    <w:p w14:paraId="74C06563" w14:textId="64ADEE83" w:rsidR="00FB53E4" w:rsidRDefault="00FB6020" w:rsidP="007F771C">
      <w:pPr>
        <w:numPr>
          <w:ilvl w:val="0"/>
          <w:numId w:val="12"/>
        </w:numPr>
        <w:pBdr>
          <w:top w:val="nil"/>
          <w:left w:val="nil"/>
          <w:bottom w:val="nil"/>
          <w:right w:val="nil"/>
          <w:between w:val="nil"/>
        </w:pBdr>
        <w:tabs>
          <w:tab w:val="left" w:pos="450"/>
          <w:tab w:val="left" w:pos="1102"/>
        </w:tabs>
        <w:spacing w:after="120" w:line="360" w:lineRule="auto"/>
        <w:jc w:val="both"/>
        <w:rPr>
          <w:color w:val="010000"/>
          <w:sz w:val="20"/>
          <w:szCs w:val="20"/>
        </w:rPr>
      </w:pPr>
      <w:r>
        <w:rPr>
          <w:rFonts w:ascii="Arial" w:hAnsi="Arial"/>
          <w:color w:val="010000"/>
          <w:sz w:val="20"/>
        </w:rPr>
        <w:t xml:space="preserve">Approve the amended and supplemented Operational Regulation of the Board of Directors of IDICO </w:t>
      </w:r>
      <w:proofErr w:type="spellStart"/>
      <w:r>
        <w:rPr>
          <w:rFonts w:ascii="Arial" w:hAnsi="Arial"/>
          <w:color w:val="010000"/>
          <w:sz w:val="20"/>
        </w:rPr>
        <w:t>Srok</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Hydropower Jo</w:t>
      </w:r>
      <w:r w:rsidR="007F771C">
        <w:rPr>
          <w:rFonts w:ascii="Arial" w:hAnsi="Arial"/>
          <w:color w:val="010000"/>
          <w:sz w:val="20"/>
        </w:rPr>
        <w:t>i</w:t>
      </w:r>
      <w:r>
        <w:rPr>
          <w:rFonts w:ascii="Arial" w:hAnsi="Arial"/>
          <w:color w:val="010000"/>
          <w:sz w:val="20"/>
        </w:rPr>
        <w:t>nt Stock Company.</w:t>
      </w:r>
    </w:p>
    <w:p w14:paraId="13FE6FB8" w14:textId="41047FF7" w:rsidR="00FB53E4" w:rsidRDefault="00FB6020" w:rsidP="007F771C">
      <w:pPr>
        <w:numPr>
          <w:ilvl w:val="0"/>
          <w:numId w:val="13"/>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The new</w:t>
      </w:r>
      <w:r w:rsidR="007F771C">
        <w:rPr>
          <w:rFonts w:ascii="Arial" w:hAnsi="Arial"/>
          <w:color w:val="010000"/>
          <w:sz w:val="20"/>
        </w:rPr>
        <w:t xml:space="preserve"> </w:t>
      </w:r>
      <w:r>
        <w:rPr>
          <w:rFonts w:ascii="Arial" w:hAnsi="Arial"/>
          <w:color w:val="010000"/>
          <w:sz w:val="20"/>
        </w:rPr>
        <w:t>Operational Regulation of the Board of Directors will take effect from the date it was approved by the General Meeting of Shareholders and replaces the current the Operational Regulation of the Board of Directors.</w:t>
      </w:r>
    </w:p>
    <w:p w14:paraId="231096ED" w14:textId="77777777" w:rsidR="00FB53E4" w:rsidRDefault="00FB6020" w:rsidP="007F771C">
      <w:pPr>
        <w:numPr>
          <w:ilvl w:val="0"/>
          <w:numId w:val="12"/>
        </w:numPr>
        <w:pBdr>
          <w:top w:val="nil"/>
          <w:left w:val="nil"/>
          <w:bottom w:val="nil"/>
          <w:right w:val="nil"/>
          <w:between w:val="nil"/>
        </w:pBdr>
        <w:tabs>
          <w:tab w:val="left" w:pos="450"/>
          <w:tab w:val="left" w:pos="1083"/>
        </w:tabs>
        <w:spacing w:after="120" w:line="360" w:lineRule="auto"/>
        <w:jc w:val="both"/>
        <w:rPr>
          <w:color w:val="010000"/>
          <w:sz w:val="20"/>
          <w:szCs w:val="20"/>
        </w:rPr>
      </w:pPr>
      <w:r>
        <w:rPr>
          <w:rFonts w:ascii="Arial" w:hAnsi="Arial"/>
          <w:color w:val="010000"/>
          <w:sz w:val="20"/>
        </w:rPr>
        <w:t xml:space="preserve">Approve the amended and supplemented Operational Regulation of the Supervisory Board of IDICO </w:t>
      </w:r>
      <w:proofErr w:type="spellStart"/>
      <w:r>
        <w:rPr>
          <w:rFonts w:ascii="Arial" w:hAnsi="Arial"/>
          <w:color w:val="010000"/>
          <w:sz w:val="20"/>
        </w:rPr>
        <w:t>Srok</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Hydropower </w:t>
      </w:r>
      <w:proofErr w:type="spellStart"/>
      <w:r>
        <w:rPr>
          <w:rFonts w:ascii="Arial" w:hAnsi="Arial"/>
          <w:color w:val="010000"/>
          <w:sz w:val="20"/>
        </w:rPr>
        <w:t>Jont</w:t>
      </w:r>
      <w:proofErr w:type="spellEnd"/>
      <w:r>
        <w:rPr>
          <w:rFonts w:ascii="Arial" w:hAnsi="Arial"/>
          <w:color w:val="010000"/>
          <w:sz w:val="20"/>
        </w:rPr>
        <w:t xml:space="preserve"> Stock Company.</w:t>
      </w:r>
    </w:p>
    <w:p w14:paraId="4E7AB499" w14:textId="7FA3F1E0" w:rsidR="00FB53E4" w:rsidRDefault="00FB6020" w:rsidP="007F771C">
      <w:pPr>
        <w:numPr>
          <w:ilvl w:val="0"/>
          <w:numId w:val="4"/>
        </w:numPr>
        <w:pBdr>
          <w:top w:val="nil"/>
          <w:left w:val="nil"/>
          <w:bottom w:val="nil"/>
          <w:right w:val="nil"/>
          <w:between w:val="nil"/>
        </w:pBdr>
        <w:tabs>
          <w:tab w:val="left" w:pos="450"/>
          <w:tab w:val="left" w:pos="987"/>
        </w:tabs>
        <w:spacing w:after="120" w:line="360" w:lineRule="auto"/>
        <w:jc w:val="both"/>
        <w:rPr>
          <w:color w:val="010000"/>
          <w:sz w:val="20"/>
          <w:szCs w:val="20"/>
        </w:rPr>
      </w:pPr>
      <w:r>
        <w:rPr>
          <w:rFonts w:ascii="Arial" w:hAnsi="Arial"/>
          <w:color w:val="010000"/>
          <w:sz w:val="20"/>
        </w:rPr>
        <w:t>The new Operational Regulation of the Supervisory Board will take effect from the date it was approved by the General Meeting and replaces the current Operational Regulation of the Supervisory Board.</w:t>
      </w:r>
    </w:p>
    <w:p w14:paraId="546F3BC1"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‎‎Article 2. Approve the Proposal on the dismissal and election of additional members for the Board of Directors for the term of 2023-2028 as follows:</w:t>
      </w:r>
    </w:p>
    <w:p w14:paraId="4A5443B6" w14:textId="77777777" w:rsidR="00FB53E4" w:rsidRDefault="00FB6020" w:rsidP="007F771C">
      <w:pPr>
        <w:numPr>
          <w:ilvl w:val="0"/>
          <w:numId w:val="8"/>
        </w:numPr>
        <w:pBdr>
          <w:top w:val="nil"/>
          <w:left w:val="nil"/>
          <w:bottom w:val="nil"/>
          <w:right w:val="nil"/>
          <w:between w:val="nil"/>
        </w:pBdr>
        <w:tabs>
          <w:tab w:val="left" w:pos="450"/>
          <w:tab w:val="left" w:pos="954"/>
        </w:tabs>
        <w:spacing w:after="120" w:line="360" w:lineRule="auto"/>
        <w:jc w:val="both"/>
        <w:rPr>
          <w:color w:val="010000"/>
          <w:sz w:val="20"/>
          <w:szCs w:val="20"/>
        </w:rPr>
      </w:pPr>
      <w:r>
        <w:rPr>
          <w:rFonts w:ascii="Arial" w:hAnsi="Arial"/>
          <w:color w:val="010000"/>
          <w:sz w:val="20"/>
        </w:rPr>
        <w:t>Approve the dismissal of members of the Board of Directors for the 2023 - 2028 term for</w:t>
      </w:r>
    </w:p>
    <w:p w14:paraId="1DB68CD6" w14:textId="77777777" w:rsidR="00FB53E4" w:rsidRDefault="00FB6020" w:rsidP="007F771C">
      <w:pPr>
        <w:numPr>
          <w:ilvl w:val="0"/>
          <w:numId w:val="13"/>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Mr. Nguyen Thanh Hoai.</w:t>
      </w:r>
    </w:p>
    <w:p w14:paraId="7F45C0E9" w14:textId="1C78BE3A"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The dismissal of Mr. Nguyen Thanh Hoai will take effect from the date the General Mandate approved it. </w:t>
      </w:r>
    </w:p>
    <w:p w14:paraId="32069C50" w14:textId="77777777" w:rsidR="00FB53E4" w:rsidRDefault="00FB6020" w:rsidP="007F771C">
      <w:pPr>
        <w:numPr>
          <w:ilvl w:val="0"/>
          <w:numId w:val="8"/>
        </w:numPr>
        <w:pBdr>
          <w:top w:val="nil"/>
          <w:left w:val="nil"/>
          <w:bottom w:val="nil"/>
          <w:right w:val="nil"/>
          <w:between w:val="nil"/>
        </w:pBdr>
        <w:tabs>
          <w:tab w:val="left" w:pos="450"/>
          <w:tab w:val="left" w:pos="925"/>
        </w:tabs>
        <w:spacing w:after="120" w:line="360" w:lineRule="auto"/>
        <w:jc w:val="both"/>
        <w:rPr>
          <w:color w:val="010000"/>
          <w:sz w:val="20"/>
          <w:szCs w:val="20"/>
        </w:rPr>
      </w:pPr>
      <w:r>
        <w:rPr>
          <w:rFonts w:ascii="Arial" w:hAnsi="Arial"/>
          <w:color w:val="010000"/>
          <w:sz w:val="20"/>
        </w:rPr>
        <w:t>Approve the election of additional members of the Board of Directors for the 2023 - 2028 term as follows:</w:t>
      </w:r>
    </w:p>
    <w:p w14:paraId="42A771AB" w14:textId="77777777" w:rsidR="00FB53E4" w:rsidRDefault="00FB6020" w:rsidP="007F771C">
      <w:pPr>
        <w:numPr>
          <w:ilvl w:val="0"/>
          <w:numId w:val="5"/>
        </w:numPr>
        <w:pBdr>
          <w:top w:val="nil"/>
          <w:left w:val="nil"/>
          <w:bottom w:val="nil"/>
          <w:right w:val="nil"/>
          <w:between w:val="nil"/>
        </w:pBdr>
        <w:tabs>
          <w:tab w:val="left" w:pos="450"/>
          <w:tab w:val="left" w:pos="792"/>
        </w:tabs>
        <w:spacing w:after="120" w:line="360" w:lineRule="auto"/>
        <w:jc w:val="both"/>
        <w:rPr>
          <w:color w:val="010000"/>
          <w:sz w:val="20"/>
          <w:szCs w:val="20"/>
        </w:rPr>
      </w:pPr>
      <w:r>
        <w:rPr>
          <w:rFonts w:ascii="Arial" w:hAnsi="Arial"/>
          <w:color w:val="010000"/>
          <w:sz w:val="20"/>
        </w:rPr>
        <w:t>Members of the Board of Directors:</w:t>
      </w:r>
    </w:p>
    <w:p w14:paraId="2CC08756"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Mr. Nguyen Quoc Viet.</w:t>
      </w:r>
    </w:p>
    <w:p w14:paraId="7114BC64" w14:textId="77777777" w:rsidR="00FB53E4" w:rsidRDefault="00FB6020" w:rsidP="007F771C">
      <w:pPr>
        <w:numPr>
          <w:ilvl w:val="0"/>
          <w:numId w:val="5"/>
        </w:numPr>
        <w:pBdr>
          <w:top w:val="nil"/>
          <w:left w:val="nil"/>
          <w:bottom w:val="nil"/>
          <w:right w:val="nil"/>
          <w:between w:val="nil"/>
        </w:pBdr>
        <w:tabs>
          <w:tab w:val="left" w:pos="450"/>
          <w:tab w:val="left" w:pos="844"/>
        </w:tabs>
        <w:spacing w:after="120" w:line="360" w:lineRule="auto"/>
        <w:jc w:val="both"/>
        <w:rPr>
          <w:color w:val="010000"/>
          <w:sz w:val="20"/>
          <w:szCs w:val="20"/>
        </w:rPr>
      </w:pPr>
      <w:r>
        <w:rPr>
          <w:rFonts w:ascii="Arial" w:hAnsi="Arial"/>
          <w:color w:val="010000"/>
          <w:sz w:val="20"/>
        </w:rPr>
        <w:t>The election result of additional members of the Board of Directors in the term of 2023-2028 will take effect from the date the General Mandate approved it.</w:t>
      </w:r>
    </w:p>
    <w:p w14:paraId="438C337A"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3. Approve the dismissal and the election of additional members of the Company’s Supervisory Board for the term 2023 - 2028, specifically as follow: </w:t>
      </w:r>
    </w:p>
    <w:p w14:paraId="749F9F91" w14:textId="77777777" w:rsidR="00FB53E4" w:rsidRDefault="00FB6020" w:rsidP="007F771C">
      <w:pPr>
        <w:numPr>
          <w:ilvl w:val="0"/>
          <w:numId w:val="7"/>
        </w:numPr>
        <w:pBdr>
          <w:top w:val="nil"/>
          <w:left w:val="nil"/>
          <w:bottom w:val="nil"/>
          <w:right w:val="nil"/>
          <w:between w:val="nil"/>
        </w:pBdr>
        <w:tabs>
          <w:tab w:val="left" w:pos="450"/>
          <w:tab w:val="left" w:pos="958"/>
        </w:tabs>
        <w:spacing w:after="120" w:line="360" w:lineRule="auto"/>
        <w:jc w:val="both"/>
        <w:rPr>
          <w:color w:val="010000"/>
          <w:sz w:val="20"/>
          <w:szCs w:val="20"/>
        </w:rPr>
      </w:pPr>
      <w:r>
        <w:rPr>
          <w:rFonts w:ascii="Arial" w:hAnsi="Arial"/>
          <w:color w:val="010000"/>
          <w:sz w:val="20"/>
        </w:rPr>
        <w:t xml:space="preserve">Approve the dismissal of a member of the Supervisory Board for the term 2023-2028 for </w:t>
      </w:r>
    </w:p>
    <w:p w14:paraId="2AB96C1F" w14:textId="77777777" w:rsidR="00FB53E4" w:rsidRDefault="00FB6020" w:rsidP="007F771C">
      <w:pPr>
        <w:numPr>
          <w:ilvl w:val="0"/>
          <w:numId w:val="5"/>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Mr. Nguyen Dang Thanh.</w:t>
      </w:r>
    </w:p>
    <w:p w14:paraId="2675B136" w14:textId="5F268598"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The dismissal of </w:t>
      </w:r>
      <w:proofErr w:type="spellStart"/>
      <w:r>
        <w:rPr>
          <w:rFonts w:ascii="Arial" w:hAnsi="Arial"/>
          <w:color w:val="010000"/>
          <w:sz w:val="20"/>
        </w:rPr>
        <w:t>Mr</w:t>
      </w:r>
      <w:proofErr w:type="spellEnd"/>
      <w:r>
        <w:rPr>
          <w:rFonts w:ascii="Arial" w:hAnsi="Arial"/>
          <w:color w:val="010000"/>
          <w:sz w:val="20"/>
        </w:rPr>
        <w:t xml:space="preserve"> Nguyen Dang Thanh will take effect from the date the General Mandate approved it.</w:t>
      </w:r>
    </w:p>
    <w:p w14:paraId="0C1C3731" w14:textId="77777777" w:rsidR="00FB53E4" w:rsidRDefault="00FB6020" w:rsidP="007F771C">
      <w:pPr>
        <w:numPr>
          <w:ilvl w:val="0"/>
          <w:numId w:val="7"/>
        </w:numPr>
        <w:pBdr>
          <w:top w:val="nil"/>
          <w:left w:val="nil"/>
          <w:bottom w:val="nil"/>
          <w:right w:val="nil"/>
          <w:between w:val="nil"/>
        </w:pBdr>
        <w:tabs>
          <w:tab w:val="left" w:pos="450"/>
          <w:tab w:val="left" w:pos="958"/>
        </w:tabs>
        <w:spacing w:after="120" w:line="360" w:lineRule="auto"/>
        <w:jc w:val="both"/>
        <w:rPr>
          <w:color w:val="010000"/>
          <w:sz w:val="20"/>
          <w:szCs w:val="20"/>
        </w:rPr>
      </w:pPr>
      <w:r>
        <w:rPr>
          <w:rFonts w:ascii="Arial" w:hAnsi="Arial"/>
          <w:color w:val="010000"/>
          <w:sz w:val="20"/>
        </w:rPr>
        <w:t xml:space="preserve">Approve the election result of the additional members of the Supervisory Board of the Company in the term 2023 - 2028 as follows: </w:t>
      </w:r>
    </w:p>
    <w:p w14:paraId="317E0CB9" w14:textId="77777777" w:rsidR="00FB53E4" w:rsidRDefault="00FB6020" w:rsidP="007F771C">
      <w:pPr>
        <w:numPr>
          <w:ilvl w:val="0"/>
          <w:numId w:val="9"/>
        </w:numPr>
        <w:pBdr>
          <w:top w:val="nil"/>
          <w:left w:val="nil"/>
          <w:bottom w:val="nil"/>
          <w:right w:val="nil"/>
          <w:between w:val="nil"/>
        </w:pBdr>
        <w:tabs>
          <w:tab w:val="left" w:pos="450"/>
          <w:tab w:val="left" w:pos="792"/>
        </w:tabs>
        <w:spacing w:after="120" w:line="360" w:lineRule="auto"/>
        <w:jc w:val="both"/>
        <w:rPr>
          <w:color w:val="010000"/>
          <w:sz w:val="20"/>
          <w:szCs w:val="20"/>
        </w:rPr>
      </w:pPr>
      <w:r>
        <w:rPr>
          <w:rFonts w:ascii="Arial" w:hAnsi="Arial"/>
          <w:color w:val="010000"/>
          <w:sz w:val="20"/>
        </w:rPr>
        <w:t>Member of the Supervisory Board:</w:t>
      </w:r>
    </w:p>
    <w:p w14:paraId="4BBAD858" w14:textId="77777777"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Mr. Doan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w:t>
      </w:r>
    </w:p>
    <w:p w14:paraId="5A0A7837" w14:textId="77777777" w:rsidR="00FB53E4" w:rsidRDefault="00FB6020" w:rsidP="007F771C">
      <w:pPr>
        <w:numPr>
          <w:ilvl w:val="0"/>
          <w:numId w:val="9"/>
        </w:numPr>
        <w:pBdr>
          <w:top w:val="nil"/>
          <w:left w:val="nil"/>
          <w:bottom w:val="nil"/>
          <w:right w:val="nil"/>
          <w:between w:val="nil"/>
        </w:pBdr>
        <w:tabs>
          <w:tab w:val="left" w:pos="450"/>
          <w:tab w:val="left" w:pos="844"/>
        </w:tabs>
        <w:spacing w:after="120" w:line="360" w:lineRule="auto"/>
        <w:jc w:val="both"/>
        <w:rPr>
          <w:color w:val="010000"/>
          <w:sz w:val="20"/>
          <w:szCs w:val="20"/>
        </w:rPr>
      </w:pPr>
      <w:r>
        <w:rPr>
          <w:rFonts w:ascii="Arial" w:hAnsi="Arial"/>
          <w:color w:val="010000"/>
          <w:sz w:val="20"/>
        </w:rPr>
        <w:t>The election result of the additional members of the Supervisory Board in the term 2023 - 2028 will take effect from the date the General Mandate approved it.</w:t>
      </w:r>
    </w:p>
    <w:p w14:paraId="5EB2C46C" w14:textId="77777777" w:rsidR="00FB53E4" w:rsidRDefault="00FB6020" w:rsidP="007F771C">
      <w:pPr>
        <w:numPr>
          <w:ilvl w:val="0"/>
          <w:numId w:val="7"/>
        </w:numPr>
        <w:pBdr>
          <w:top w:val="nil"/>
          <w:left w:val="nil"/>
          <w:bottom w:val="nil"/>
          <w:right w:val="nil"/>
          <w:between w:val="nil"/>
        </w:pBdr>
        <w:tabs>
          <w:tab w:val="left" w:pos="450"/>
          <w:tab w:val="left" w:pos="1379"/>
        </w:tabs>
        <w:spacing w:after="120" w:line="360" w:lineRule="auto"/>
        <w:jc w:val="both"/>
        <w:rPr>
          <w:color w:val="010000"/>
          <w:sz w:val="20"/>
          <w:szCs w:val="20"/>
        </w:rPr>
      </w:pPr>
      <w:r>
        <w:rPr>
          <w:rFonts w:ascii="Arial" w:hAnsi="Arial"/>
          <w:color w:val="010000"/>
          <w:sz w:val="20"/>
        </w:rPr>
        <w:t>The election result of the Chief of the Supervisory Board:</w:t>
      </w:r>
    </w:p>
    <w:p w14:paraId="0B265966" w14:textId="77777777" w:rsidR="00FB53E4" w:rsidRDefault="00FB6020" w:rsidP="007F771C">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Chief of the Supervisory Board: Mr. Doan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w:t>
      </w:r>
    </w:p>
    <w:p w14:paraId="594062B0" w14:textId="77777777" w:rsidR="00FB53E4" w:rsidRDefault="00FB6020" w:rsidP="007F771C">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‎‎Article 4. Terms of enforcement:</w:t>
      </w:r>
    </w:p>
    <w:p w14:paraId="1616E277" w14:textId="03C63CF1"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The Annual General Meeting of Shareholders 2024 of IDICO </w:t>
      </w:r>
      <w:proofErr w:type="spellStart"/>
      <w:r>
        <w:rPr>
          <w:rFonts w:ascii="Arial" w:hAnsi="Arial"/>
          <w:color w:val="010000"/>
          <w:sz w:val="20"/>
        </w:rPr>
        <w:t>Srok</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Mieng</w:t>
      </w:r>
      <w:proofErr w:type="spellEnd"/>
      <w:r>
        <w:rPr>
          <w:rFonts w:ascii="Arial" w:hAnsi="Arial"/>
          <w:color w:val="010000"/>
          <w:sz w:val="20"/>
        </w:rPr>
        <w:t xml:space="preserve"> Hydropower Joint Stock Company assigned the Board of Directors to implement and monitor the Executive Board implementing the General Mandate to ensure benefits of the Shareholders and the business </w:t>
      </w:r>
      <w:r w:rsidR="007F771C">
        <w:rPr>
          <w:rFonts w:ascii="Arial" w:hAnsi="Arial"/>
          <w:color w:val="010000"/>
          <w:sz w:val="20"/>
        </w:rPr>
        <w:t>under applicable laws.</w:t>
      </w:r>
    </w:p>
    <w:p w14:paraId="06FAB19F" w14:textId="671C94C8" w:rsidR="00FB53E4" w:rsidRDefault="00FB6020" w:rsidP="007F771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included 6 pages and was approved at the General Meeting </w:t>
      </w:r>
      <w:bookmarkStart w:id="0" w:name="_GoBack"/>
      <w:bookmarkEnd w:id="0"/>
      <w:r>
        <w:rPr>
          <w:rFonts w:ascii="Arial" w:hAnsi="Arial"/>
          <w:color w:val="010000"/>
          <w:sz w:val="20"/>
        </w:rPr>
        <w:t>dated April 24, 2024 and takes effects on the date of its signing.</w:t>
      </w:r>
    </w:p>
    <w:p w14:paraId="5A7CD1B0" w14:textId="77777777" w:rsidR="00FB53E4" w:rsidRDefault="00FB53E4" w:rsidP="007F771C">
      <w:pPr>
        <w:tabs>
          <w:tab w:val="left" w:pos="450"/>
        </w:tabs>
        <w:spacing w:after="120" w:line="360" w:lineRule="auto"/>
        <w:jc w:val="both"/>
        <w:rPr>
          <w:rFonts w:ascii="Arial" w:eastAsia="Arial" w:hAnsi="Arial" w:cs="Arial"/>
          <w:color w:val="010000"/>
          <w:sz w:val="20"/>
          <w:szCs w:val="20"/>
        </w:rPr>
      </w:pPr>
    </w:p>
    <w:sectPr w:rsidR="00FB53E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77"/>
    <w:multiLevelType w:val="multilevel"/>
    <w:tmpl w:val="4CB07D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75282"/>
    <w:multiLevelType w:val="multilevel"/>
    <w:tmpl w:val="1136A8E2"/>
    <w:lvl w:ilvl="0">
      <w:start w:val="1"/>
      <w:numFmt w:val="bullet"/>
      <w:lvlText w:val="-"/>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start w:val="1"/>
      <w:numFmt w:val="decimal"/>
      <w:lvlText w:val="-.%2."/>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7C5450"/>
    <w:multiLevelType w:val="multilevel"/>
    <w:tmpl w:val="84E485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ACC105C"/>
    <w:multiLevelType w:val="multilevel"/>
    <w:tmpl w:val="B3BA6546"/>
    <w:lvl w:ilvl="0">
      <w:start w:val="1"/>
      <w:numFmt w:val="decimal"/>
      <w:lvlText w:val="%1."/>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C20229"/>
    <w:multiLevelType w:val="multilevel"/>
    <w:tmpl w:val="3590621E"/>
    <w:lvl w:ilvl="0">
      <w:start w:val="1"/>
      <w:numFmt w:val="bullet"/>
      <w:lvlText w:val="-"/>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CF951E4"/>
    <w:multiLevelType w:val="multilevel"/>
    <w:tmpl w:val="BCA8FE92"/>
    <w:lvl w:ilvl="0">
      <w:start w:val="6"/>
      <w:numFmt w:val="decimal"/>
      <w:lvlText w:val="%1."/>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bullet"/>
      <w:lvlText w:val="-"/>
      <w:lvlJc w:val="left"/>
      <w:pPr>
        <w:ind w:left="360" w:hanging="360"/>
      </w:pPr>
      <w:rPr>
        <w:rFonts w:ascii="Arial" w:eastAsia="Arial" w:hAnsi="Arial" w:cs="Arial"/>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F420CFC"/>
    <w:multiLevelType w:val="multilevel"/>
    <w:tmpl w:val="9BF0E386"/>
    <w:lvl w:ilvl="0">
      <w:start w:val="1"/>
      <w:numFmt w:val="bullet"/>
      <w:lvlText w:val="-"/>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FC40534"/>
    <w:multiLevelType w:val="multilevel"/>
    <w:tmpl w:val="715068F0"/>
    <w:lvl w:ilvl="0">
      <w:start w:val="6"/>
      <w:numFmt w:val="decimal"/>
      <w:lvlText w:val="%1."/>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06109C"/>
    <w:multiLevelType w:val="multilevel"/>
    <w:tmpl w:val="D46E02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555ABF"/>
    <w:multiLevelType w:val="multilevel"/>
    <w:tmpl w:val="1E3E9D88"/>
    <w:lvl w:ilvl="0">
      <w:start w:val="1"/>
      <w:numFmt w:val="decimal"/>
      <w:lvlText w:val="%1."/>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8542688"/>
    <w:multiLevelType w:val="multilevel"/>
    <w:tmpl w:val="DDAA6F5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CF29F4"/>
    <w:multiLevelType w:val="multilevel"/>
    <w:tmpl w:val="7B8AC0C2"/>
    <w:lvl w:ilvl="0">
      <w:start w:val="1"/>
      <w:numFmt w:val="bullet"/>
      <w:lvlText w:val="-"/>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98D770B"/>
    <w:multiLevelType w:val="multilevel"/>
    <w:tmpl w:val="4DF64092"/>
    <w:lvl w:ilvl="0">
      <w:start w:val="1"/>
      <w:numFmt w:val="decimal"/>
      <w:lvlText w:val="%1."/>
      <w:lvlJc w:val="left"/>
      <w:pPr>
        <w:ind w:left="0" w:firstLine="0"/>
      </w:pPr>
      <w:rPr>
        <w:rFonts w:ascii="Arial" w:eastAsia="Arial" w:hAnsi="Arial" w:cs="Arial"/>
        <w:b w:val="0"/>
        <w:i w:val="0"/>
        <w:smallCaps w:val="0"/>
        <w:strike w:val="0"/>
        <w:color w:val="3535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0"/>
  </w:num>
  <w:num w:numId="3">
    <w:abstractNumId w:val="8"/>
  </w:num>
  <w:num w:numId="4">
    <w:abstractNumId w:val="1"/>
  </w:num>
  <w:num w:numId="5">
    <w:abstractNumId w:val="6"/>
  </w:num>
  <w:num w:numId="6">
    <w:abstractNumId w:val="2"/>
  </w:num>
  <w:num w:numId="7">
    <w:abstractNumId w:val="3"/>
  </w:num>
  <w:num w:numId="8">
    <w:abstractNumId w:val="9"/>
  </w:num>
  <w:num w:numId="9">
    <w:abstractNumId w:val="11"/>
  </w:num>
  <w:num w:numId="10">
    <w:abstractNumId w:val="5"/>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E4"/>
    <w:rsid w:val="007F771C"/>
    <w:rsid w:val="008C0FC9"/>
    <w:rsid w:val="00C47FD5"/>
    <w:rsid w:val="00EE463D"/>
    <w:rsid w:val="00FB53E4"/>
    <w:rsid w:val="00FB6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297C"/>
  <w15:docId w15:val="{A824146B-1709-44F7-8CE2-02A7C64C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color w:val="35353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53535"/>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ED6773"/>
      <w:w w:val="7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807FF"/>
      <w:sz w:val="18"/>
      <w:szCs w:val="18"/>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ED6773"/>
      <w:w w:val="80"/>
      <w:sz w:val="17"/>
      <w:szCs w:val="17"/>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color w:val="353535"/>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5353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53535"/>
      <w:u w:val="none"/>
    </w:rPr>
  </w:style>
  <w:style w:type="character" w:customStyle="1" w:styleId="Bodytext6">
    <w:name w:val="Body text (6)_"/>
    <w:basedOn w:val="DefaultParagraphFont"/>
    <w:link w:val="Bodytext60"/>
    <w:rPr>
      <w:rFonts w:ascii="Arial" w:eastAsia="Arial" w:hAnsi="Arial" w:cs="Arial"/>
      <w:b/>
      <w:bCs/>
      <w:i w:val="0"/>
      <w:iCs w:val="0"/>
      <w:smallCaps w:val="0"/>
      <w:strike w:val="0"/>
      <w:color w:val="ED6773"/>
      <w:sz w:val="12"/>
      <w:szCs w:val="12"/>
      <w:u w:val="none"/>
    </w:rPr>
  </w:style>
  <w:style w:type="character" w:customStyle="1" w:styleId="Heading30">
    <w:name w:val="Heading #3_"/>
    <w:basedOn w:val="DefaultParagraphFont"/>
    <w:link w:val="Heading31"/>
    <w:rPr>
      <w:rFonts w:ascii="Arial" w:eastAsia="Arial" w:hAnsi="Arial" w:cs="Arial"/>
      <w:b/>
      <w:bCs/>
      <w:i w:val="0"/>
      <w:iCs w:val="0"/>
      <w:smallCaps w:val="0"/>
      <w:strike w:val="0"/>
      <w:color w:val="85888B"/>
      <w:sz w:val="42"/>
      <w:szCs w:val="4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5A5A5A"/>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F27C8A"/>
      <w:sz w:val="42"/>
      <w:szCs w:val="42"/>
      <w:u w:val="none"/>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A5A5A"/>
      <w:sz w:val="74"/>
      <w:szCs w:val="74"/>
      <w:u w:val="none"/>
    </w:rPr>
  </w:style>
  <w:style w:type="character" w:customStyle="1" w:styleId="Bodytext9">
    <w:name w:val="Body text (9)_"/>
    <w:basedOn w:val="DefaultParagraphFont"/>
    <w:link w:val="Bodytext90"/>
    <w:rPr>
      <w:rFonts w:ascii="Arial" w:eastAsia="Arial" w:hAnsi="Arial" w:cs="Arial"/>
      <w:b/>
      <w:bCs/>
      <w:i w:val="0"/>
      <w:iCs w:val="0"/>
      <w:smallCaps w:val="0"/>
      <w:strike w:val="0"/>
      <w:color w:val="353535"/>
      <w:sz w:val="22"/>
      <w:szCs w:val="22"/>
      <w:u w:val="none"/>
    </w:rPr>
  </w:style>
  <w:style w:type="paragraph" w:customStyle="1" w:styleId="Footnote0">
    <w:name w:val="Footnote"/>
    <w:basedOn w:val="Normal"/>
    <w:link w:val="Footnote"/>
    <w:pPr>
      <w:spacing w:line="276" w:lineRule="auto"/>
      <w:ind w:firstLine="700"/>
    </w:pPr>
    <w:rPr>
      <w:rFonts w:ascii="Times New Roman" w:eastAsia="Times New Roman" w:hAnsi="Times New Roman" w:cs="Times New Roman"/>
      <w:color w:val="353535"/>
    </w:rPr>
  </w:style>
  <w:style w:type="paragraph" w:customStyle="1" w:styleId="Bodytext20">
    <w:name w:val="Body text (2)"/>
    <w:basedOn w:val="Normal"/>
    <w:link w:val="Bodytext2"/>
    <w:qFormat/>
    <w:rPr>
      <w:rFonts w:ascii="Times New Roman" w:eastAsia="Times New Roman" w:hAnsi="Times New Roman" w:cs="Times New Roman"/>
      <w:sz w:val="20"/>
      <w:szCs w:val="20"/>
    </w:rPr>
  </w:style>
  <w:style w:type="paragraph" w:customStyle="1" w:styleId="Heading61">
    <w:name w:val="Heading #6"/>
    <w:basedOn w:val="Normal"/>
    <w:link w:val="Heading60"/>
    <w:pPr>
      <w:spacing w:line="307" w:lineRule="auto"/>
      <w:ind w:firstLine="200"/>
      <w:outlineLvl w:val="5"/>
    </w:pPr>
    <w:rPr>
      <w:rFonts w:ascii="Times New Roman" w:eastAsia="Times New Roman" w:hAnsi="Times New Roman" w:cs="Times New Roman"/>
      <w:b/>
      <w:bCs/>
      <w:sz w:val="22"/>
      <w:szCs w:val="22"/>
    </w:rPr>
  </w:style>
  <w:style w:type="paragraph" w:styleId="BodyText">
    <w:name w:val="Body Text"/>
    <w:basedOn w:val="Normal"/>
    <w:link w:val="BodyTextChar"/>
    <w:pPr>
      <w:spacing w:line="298" w:lineRule="auto"/>
      <w:ind w:firstLine="400"/>
    </w:pPr>
    <w:rPr>
      <w:rFonts w:ascii="Times New Roman" w:eastAsia="Times New Roman" w:hAnsi="Times New Roman" w:cs="Times New Roman"/>
      <w:color w:val="353535"/>
    </w:rPr>
  </w:style>
  <w:style w:type="paragraph" w:customStyle="1" w:styleId="Bodytext50">
    <w:name w:val="Body text (5)"/>
    <w:basedOn w:val="Normal"/>
    <w:link w:val="Bodytext5"/>
    <w:pPr>
      <w:spacing w:line="350" w:lineRule="auto"/>
    </w:pPr>
    <w:rPr>
      <w:rFonts w:ascii="Arial" w:eastAsia="Arial" w:hAnsi="Arial" w:cs="Arial"/>
      <w:b/>
      <w:bCs/>
      <w:color w:val="ED6773"/>
      <w:w w:val="70"/>
      <w:sz w:val="19"/>
      <w:szCs w:val="19"/>
    </w:rPr>
  </w:style>
  <w:style w:type="paragraph" w:customStyle="1" w:styleId="Bodytext30">
    <w:name w:val="Body text (3)"/>
    <w:basedOn w:val="Normal"/>
    <w:link w:val="Bodytext3"/>
    <w:pPr>
      <w:spacing w:line="199" w:lineRule="auto"/>
    </w:pPr>
    <w:rPr>
      <w:rFonts w:ascii="Times New Roman" w:eastAsia="Times New Roman" w:hAnsi="Times New Roman" w:cs="Times New Roman"/>
      <w:color w:val="0807FF"/>
      <w:sz w:val="18"/>
      <w:szCs w:val="18"/>
    </w:rPr>
  </w:style>
  <w:style w:type="paragraph" w:customStyle="1" w:styleId="Bodytext40">
    <w:name w:val="Body text (4)"/>
    <w:basedOn w:val="Normal"/>
    <w:link w:val="Bodytext4"/>
    <w:pPr>
      <w:spacing w:line="353" w:lineRule="auto"/>
    </w:pPr>
    <w:rPr>
      <w:rFonts w:ascii="Arial" w:eastAsia="Arial" w:hAnsi="Arial" w:cs="Arial"/>
      <w:b/>
      <w:bCs/>
      <w:color w:val="ED6773"/>
      <w:w w:val="80"/>
      <w:sz w:val="17"/>
      <w:szCs w:val="17"/>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color w:val="353535"/>
      <w:sz w:val="30"/>
      <w:szCs w:val="30"/>
    </w:rPr>
  </w:style>
  <w:style w:type="paragraph" w:customStyle="1" w:styleId="Tablecaption0">
    <w:name w:val="Table caption"/>
    <w:basedOn w:val="Normal"/>
    <w:link w:val="Tablecaption"/>
    <w:rPr>
      <w:rFonts w:ascii="Times New Roman" w:eastAsia="Times New Roman" w:hAnsi="Times New Roman" w:cs="Times New Roman"/>
      <w:color w:val="353535"/>
    </w:rPr>
  </w:style>
  <w:style w:type="paragraph" w:customStyle="1" w:styleId="Other0">
    <w:name w:val="Other"/>
    <w:basedOn w:val="Normal"/>
    <w:link w:val="Other"/>
    <w:pPr>
      <w:spacing w:line="298" w:lineRule="auto"/>
      <w:ind w:firstLine="400"/>
    </w:pPr>
    <w:rPr>
      <w:rFonts w:ascii="Times New Roman" w:eastAsia="Times New Roman" w:hAnsi="Times New Roman" w:cs="Times New Roman"/>
      <w:color w:val="353535"/>
    </w:rPr>
  </w:style>
  <w:style w:type="paragraph" w:customStyle="1" w:styleId="Bodytext60">
    <w:name w:val="Body text (6)"/>
    <w:basedOn w:val="Normal"/>
    <w:link w:val="Bodytext6"/>
    <w:pPr>
      <w:spacing w:line="190" w:lineRule="auto"/>
    </w:pPr>
    <w:rPr>
      <w:rFonts w:ascii="Arial" w:eastAsia="Arial" w:hAnsi="Arial" w:cs="Arial"/>
      <w:b/>
      <w:bCs/>
      <w:color w:val="ED6773"/>
      <w:sz w:val="12"/>
      <w:szCs w:val="12"/>
    </w:rPr>
  </w:style>
  <w:style w:type="paragraph" w:customStyle="1" w:styleId="Heading31">
    <w:name w:val="Heading #3"/>
    <w:basedOn w:val="Normal"/>
    <w:link w:val="Heading30"/>
    <w:pPr>
      <w:outlineLvl w:val="2"/>
    </w:pPr>
    <w:rPr>
      <w:rFonts w:ascii="Arial" w:eastAsia="Arial" w:hAnsi="Arial" w:cs="Arial"/>
      <w:b/>
      <w:bCs/>
      <w:color w:val="85888B"/>
      <w:sz w:val="42"/>
      <w:szCs w:val="42"/>
    </w:rPr>
  </w:style>
  <w:style w:type="paragraph" w:customStyle="1" w:styleId="Tableofcontents0">
    <w:name w:val="Table of contents"/>
    <w:basedOn w:val="Normal"/>
    <w:link w:val="Tableofcontents"/>
    <w:pPr>
      <w:ind w:left="540" w:firstLine="250"/>
    </w:pPr>
    <w:rPr>
      <w:rFonts w:ascii="Times New Roman" w:eastAsia="Times New Roman" w:hAnsi="Times New Roman" w:cs="Times New Roman"/>
      <w:color w:val="5A5A5A"/>
      <w:sz w:val="20"/>
      <w:szCs w:val="20"/>
    </w:rPr>
  </w:style>
  <w:style w:type="paragraph" w:customStyle="1" w:styleId="Heading21">
    <w:name w:val="Heading #2"/>
    <w:basedOn w:val="Normal"/>
    <w:link w:val="Heading20"/>
    <w:pPr>
      <w:outlineLvl w:val="1"/>
    </w:pPr>
    <w:rPr>
      <w:rFonts w:ascii="Times New Roman" w:eastAsia="Times New Roman" w:hAnsi="Times New Roman" w:cs="Times New Roman"/>
      <w:color w:val="F27C8A"/>
      <w:sz w:val="42"/>
      <w:szCs w:val="42"/>
    </w:rPr>
  </w:style>
  <w:style w:type="paragraph" w:customStyle="1" w:styleId="Heading51">
    <w:name w:val="Heading #5"/>
    <w:basedOn w:val="Normal"/>
    <w:link w:val="Heading50"/>
    <w:pPr>
      <w:ind w:left="2790"/>
      <w:outlineLvl w:val="4"/>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5A5A5A"/>
      <w:sz w:val="74"/>
      <w:szCs w:val="74"/>
    </w:rPr>
  </w:style>
  <w:style w:type="paragraph" w:customStyle="1" w:styleId="Bodytext90">
    <w:name w:val="Body text (9)"/>
    <w:basedOn w:val="Normal"/>
    <w:link w:val="Bodytext9"/>
    <w:pPr>
      <w:jc w:val="center"/>
    </w:pPr>
    <w:rPr>
      <w:rFonts w:ascii="Arial" w:eastAsia="Arial" w:hAnsi="Arial" w:cs="Arial"/>
      <w:b/>
      <w:bCs/>
      <w:color w:val="353535"/>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1Kps8iwqTfRTpHEGSISfAkQiQ==">CgMxLjA4AHIhMXFuVHFYeTFhb01UVGZuUGM3dGFfRUUydTZXM3IxaWJ1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2024-05-03T11:12:00Z</dcterms:created>
  <dcterms:modified xsi:type="dcterms:W3CDTF">2024-05-03T11:12:00Z</dcterms:modified>
</cp:coreProperties>
</file>