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5FCC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KIP: Annual General Mandate 2024</w:t>
      </w:r>
    </w:p>
    <w:p w14:paraId="4A86FE75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23, 2024, Vietnam K.I.P Joint Stock Company announced General Mandate No. 214/NQ-DHDCD, as follows:</w:t>
      </w:r>
    </w:p>
    <w:p w14:paraId="37DCB754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The Meeting approves the following reports:</w:t>
      </w:r>
    </w:p>
    <w:p w14:paraId="2971EFC7" w14:textId="1337E209" w:rsidR="001127F9" w:rsidRDefault="000C7DB9" w:rsidP="00861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Executive Board on production and business results in 2023 and operation plan for 2024</w:t>
      </w:r>
    </w:p>
    <w:p w14:paraId="13086C1A" w14:textId="1838F460" w:rsidR="001127F9" w:rsidRDefault="000C7DB9" w:rsidP="00861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implementing the main targets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1771"/>
        <w:gridCol w:w="929"/>
        <w:gridCol w:w="2171"/>
        <w:gridCol w:w="1980"/>
        <w:gridCol w:w="904"/>
        <w:gridCol w:w="866"/>
      </w:tblGrid>
      <w:tr w:rsidR="001127F9" w14:paraId="59456EC3" w14:textId="77777777"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7EDD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  <w:p w14:paraId="27DD6858" w14:textId="77777777" w:rsidR="001127F9" w:rsidRDefault="0011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8B3C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Targets: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517BC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3D5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94B3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2022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6F09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 (%)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9B87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2023/2022 (%)</w:t>
            </w:r>
          </w:p>
        </w:tc>
      </w:tr>
      <w:tr w:rsidR="001127F9" w14:paraId="0F73264E" w14:textId="77777777"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71E7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9474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net revenue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F31AD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1820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387,052,342,885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5372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354,348,681,268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0D3DD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101.3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CAE3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109.2</w:t>
            </w:r>
          </w:p>
        </w:tc>
      </w:tr>
      <w:tr w:rsidR="001127F9" w14:paraId="6CA692DB" w14:textId="77777777"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4106" w14:textId="77777777" w:rsidR="001127F9" w:rsidRPr="000C7DB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7DB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84FFC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30FE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14DD3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8,353,452,311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3716A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15,759,904,203  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2E093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49.7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E44EA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53.0</w:t>
            </w:r>
          </w:p>
        </w:tc>
      </w:tr>
      <w:tr w:rsidR="001127F9" w14:paraId="22A8524B" w14:textId="77777777"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CD13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24BE5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7D2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B85C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14,715,039,300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6EF0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11,895,721,370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C453F" w14:textId="77777777" w:rsidR="001127F9" w:rsidRDefault="001127F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93EB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123.7</w:t>
            </w:r>
          </w:p>
        </w:tc>
      </w:tr>
      <w:tr w:rsidR="001127F9" w14:paraId="6D4E7283" w14:textId="77777777"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9D03A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617C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investment value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A73B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536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7,517,776,666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7A1A3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3,948,596,203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0B06D" w14:textId="77777777" w:rsidR="001127F9" w:rsidRDefault="000C7DB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D00A5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190.4</w:t>
            </w:r>
          </w:p>
        </w:tc>
      </w:tr>
      <w:tr w:rsidR="001127F9" w14:paraId="501D0474" w14:textId="77777777">
        <w:trPr>
          <w:trHeight w:val="773"/>
        </w:trPr>
        <w:tc>
          <w:tcPr>
            <w:tcW w:w="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EAB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  <w:p w14:paraId="13B9959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044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rate: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A98C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%/year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4A4F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AB136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D5801" w14:textId="77777777" w:rsidR="001127F9" w:rsidRDefault="000C7DB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6141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</w:t>
            </w:r>
          </w:p>
        </w:tc>
      </w:tr>
    </w:tbl>
    <w:p w14:paraId="0440B12F" w14:textId="77777777" w:rsidR="001127F9" w:rsidRDefault="000C7DB9" w:rsidP="00861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on activities of the Board of Directors in 2023 and Operation Plan for 2024;</w:t>
      </w:r>
    </w:p>
    <w:p w14:paraId="40D9FFC9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Financial Statements 2023 audited by AASC Auditing Firm Company Limited.</w:t>
      </w:r>
    </w:p>
    <w:p w14:paraId="0636A634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3. Approve the return of the Development Investment Fund to undistributed profit after tax to pay dividends in 2023 in cash</w:t>
      </w:r>
    </w:p>
    <w:p w14:paraId="7992C6BE" w14:textId="5C03BC13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approved additional sources of cash dividend payments in 2023, to meet the 8% payout rate according to the Annual General Mandate 2023: Take from the reversal of the Development Investment Fund into Undistributed Profit after tax in 2023, the amount is VND 1.4 billion.</w:t>
      </w:r>
    </w:p>
    <w:p w14:paraId="0EDF6D86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profit distribution of Vietnam K.I.P Joint Stock Company in 2023 as follows:</w:t>
      </w:r>
    </w:p>
    <w:p w14:paraId="2C7962F5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5481"/>
        <w:gridCol w:w="2750"/>
      </w:tblGrid>
      <w:tr w:rsidR="001127F9" w14:paraId="5D97E935" w14:textId="77777777">
        <w:tc>
          <w:tcPr>
            <w:tcW w:w="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60A1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E4AA7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E63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1127F9" w14:paraId="4665B0B1" w14:textId="77777777">
        <w:tc>
          <w:tcPr>
            <w:tcW w:w="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A8CC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5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808DD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 in 2022</w:t>
            </w:r>
          </w:p>
          <w:p w14:paraId="7A58B3D7" w14:textId="77777777" w:rsidR="001127F9" w:rsidRDefault="0011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829B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2,000,000,000</w:t>
            </w:r>
          </w:p>
        </w:tc>
      </w:tr>
      <w:tr w:rsidR="001127F9" w14:paraId="26F42775" w14:textId="77777777">
        <w:tc>
          <w:tcPr>
            <w:tcW w:w="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5443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5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55FA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 in 2023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2CD2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6,500,839,136</w:t>
            </w:r>
          </w:p>
        </w:tc>
      </w:tr>
      <w:tr w:rsidR="001127F9" w14:paraId="73AAE2FF" w14:textId="77777777">
        <w:tc>
          <w:tcPr>
            <w:tcW w:w="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A7D6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5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8F62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Source of Development and Investment Fund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96456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1,400,000,000</w:t>
            </w:r>
          </w:p>
        </w:tc>
      </w:tr>
      <w:tr w:rsidR="001127F9" w14:paraId="09E099AD" w14:textId="77777777">
        <w:tc>
          <w:tcPr>
            <w:tcW w:w="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353D5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IV</w:t>
            </w:r>
          </w:p>
        </w:tc>
        <w:tc>
          <w:tcPr>
            <w:tcW w:w="5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414AE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(I + II + III)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A2C4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9,900,839,136</w:t>
            </w:r>
          </w:p>
        </w:tc>
      </w:tr>
      <w:tr w:rsidR="001127F9" w14:paraId="3AA6301A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43015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17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54BE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distributed profit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CBDB3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9,900,839,136</w:t>
            </w:r>
          </w:p>
        </w:tc>
      </w:tr>
      <w:tr w:rsidR="001127F9" w14:paraId="5CC4B8F7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0388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46548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E72BF" w14:textId="77777777" w:rsidR="001127F9" w:rsidRDefault="00112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17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7F9" w14:paraId="6E63C1F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8C2B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17D1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2023 (8%/Charter Capital):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4960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7,840,000,000</w:t>
            </w:r>
          </w:p>
        </w:tc>
      </w:tr>
      <w:tr w:rsidR="001127F9" w14:paraId="1F3F061A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3FAC5" w14:textId="77777777" w:rsidR="001127F9" w:rsidRPr="000C7DB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7DB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7FE4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3CCA8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1,898,839,136</w:t>
            </w:r>
          </w:p>
        </w:tc>
      </w:tr>
      <w:tr w:rsidR="001127F9" w14:paraId="4C04721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9C858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7BAF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Executive Management Board (2.5% of profit after tax)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BD41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162,000,000</w:t>
            </w:r>
          </w:p>
        </w:tc>
      </w:tr>
      <w:tr w:rsidR="001127F9" w14:paraId="6F5A284D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8A56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D64B6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remaining undistributed profit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D783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14:paraId="70C90D14" w14:textId="77777777" w:rsidR="001127F9" w:rsidRDefault="000C7D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5. Approve targets of basic plan on production and business, remuneration for the Board of Directors in 2024</w:t>
      </w:r>
    </w:p>
    <w:p w14:paraId="6C07A2E3" w14:textId="77777777" w:rsidR="001127F9" w:rsidRDefault="000C7D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 Expected main targets in 2024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1170"/>
        <w:gridCol w:w="2897"/>
        <w:gridCol w:w="1735"/>
        <w:gridCol w:w="3215"/>
      </w:tblGrid>
      <w:tr w:rsidR="001127F9" w14:paraId="6AB22881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0CA95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8BA87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8A56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D805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1127F9" w14:paraId="434CF0DA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8CA08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B87B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net revenue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19BF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A416F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388</w:t>
            </w:r>
          </w:p>
        </w:tc>
      </w:tr>
      <w:tr w:rsidR="001127F9" w14:paraId="5623C6FC" w14:textId="77777777"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0B78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289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CC7AC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7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4FC6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40369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16.5</w:t>
            </w:r>
          </w:p>
        </w:tc>
      </w:tr>
      <w:tr w:rsidR="001127F9" w14:paraId="0150DAD7" w14:textId="77777777"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58458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9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2F2CB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17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932E2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%/charter capital</w:t>
            </w:r>
          </w:p>
        </w:tc>
        <w:tc>
          <w:tcPr>
            <w:tcW w:w="3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1D97A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</w:tr>
      <w:tr w:rsidR="001127F9" w14:paraId="29EA9595" w14:textId="77777777"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82274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E8666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6B641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AD0D7" w14:textId="77777777" w:rsidR="001127F9" w:rsidRDefault="000C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 </w:t>
            </w:r>
          </w:p>
        </w:tc>
      </w:tr>
    </w:tbl>
    <w:p w14:paraId="277947ED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2. Remuneration for the Board of Directors in 2024: VND 168 million;</w:t>
      </w:r>
    </w:p>
    <w:p w14:paraId="72C91DEB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 Approve on allowing the Board of Directors to select one of the following audit companies to audit the Financial Statements 2024:</w:t>
      </w:r>
    </w:p>
    <w:p w14:paraId="288DC3DF" w14:textId="77777777" w:rsidR="001127F9" w:rsidRDefault="000C7DB9" w:rsidP="0086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AASC Auditing Firm Company Limited. Address: No. 1 Le </w:t>
      </w:r>
      <w:proofErr w:type="spellStart"/>
      <w:r>
        <w:rPr>
          <w:rFonts w:ascii="Arial" w:hAnsi="Arial"/>
          <w:color w:val="010000"/>
          <w:sz w:val="20"/>
        </w:rPr>
        <w:t>Phung</w:t>
      </w:r>
      <w:proofErr w:type="spellEnd"/>
      <w:r>
        <w:rPr>
          <w:rFonts w:ascii="Arial" w:hAnsi="Arial"/>
          <w:color w:val="010000"/>
          <w:sz w:val="20"/>
        </w:rPr>
        <w:t xml:space="preserve"> Hieu Street - </w:t>
      </w:r>
      <w:proofErr w:type="spellStart"/>
      <w:r>
        <w:rPr>
          <w:rFonts w:ascii="Arial" w:hAnsi="Arial"/>
          <w:color w:val="010000"/>
          <w:sz w:val="20"/>
        </w:rPr>
        <w:t>Hoan</w:t>
      </w:r>
      <w:proofErr w:type="spellEnd"/>
      <w:r>
        <w:rPr>
          <w:rFonts w:ascii="Arial" w:hAnsi="Arial"/>
          <w:color w:val="010000"/>
          <w:sz w:val="20"/>
        </w:rPr>
        <w:t xml:space="preserve"> Kiem District - Hanoi.</w:t>
      </w:r>
    </w:p>
    <w:p w14:paraId="61A01375" w14:textId="77777777" w:rsidR="001127F9" w:rsidRDefault="000C7DB9" w:rsidP="0086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Viet Auditing Company Limited Address: 12th floor, building 167 Bui Thi Xuan Street, Nguyen Du Ward, Hai Ba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District, Hanoi </w:t>
      </w:r>
    </w:p>
    <w:p w14:paraId="55175A5A" w14:textId="77777777" w:rsidR="001127F9" w:rsidRDefault="000C7DB9" w:rsidP="00861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A&amp;C Auditing and Consulting Company Limited; Address: No. 02, Truong Son Street, Ward 2, Tan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District, Ho Chi Minh City.</w:t>
      </w:r>
    </w:p>
    <w:p w14:paraId="7BF20948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7. Approve the result of the election of members of the Board of Directors for the term of 2024 - 2029, as follows:</w:t>
      </w:r>
    </w:p>
    <w:p w14:paraId="0F5B0027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Nguyen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Cuong</w:t>
      </w:r>
    </w:p>
    <w:p w14:paraId="31218859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Truong Thi Huong Lan</w:t>
      </w:r>
    </w:p>
    <w:p w14:paraId="6E78904D" w14:textId="77777777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Hoang Anh Dung</w:t>
      </w:r>
    </w:p>
    <w:p w14:paraId="2244CF3D" w14:textId="108543C9" w:rsidR="001127F9" w:rsidRDefault="000C7DB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8: This General Mandate takes effect from the date of its signing. The Board of Directors, </w:t>
      </w:r>
      <w:r w:rsidR="008615BC">
        <w:rPr>
          <w:rFonts w:ascii="Arial" w:hAnsi="Arial"/>
          <w:color w:val="010000"/>
          <w:sz w:val="20"/>
        </w:rPr>
        <w:t xml:space="preserve">Managing Director and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related departments and individuals are responsible for implementing this </w:t>
      </w:r>
      <w:r>
        <w:rPr>
          <w:rFonts w:ascii="Arial" w:hAnsi="Arial"/>
          <w:color w:val="010000"/>
          <w:sz w:val="20"/>
        </w:rPr>
        <w:lastRenderedPageBreak/>
        <w:t>General Mandate.</w:t>
      </w:r>
    </w:p>
    <w:p w14:paraId="44CF14FA" w14:textId="77777777" w:rsidR="001127F9" w:rsidRDefault="001127F9" w:rsidP="008615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127F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03"/>
    <w:multiLevelType w:val="multilevel"/>
    <w:tmpl w:val="C706E9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DE2982"/>
    <w:multiLevelType w:val="multilevel"/>
    <w:tmpl w:val="28C0C14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681820"/>
    <w:multiLevelType w:val="multilevel"/>
    <w:tmpl w:val="969C7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9"/>
    <w:rsid w:val="000C7DB9"/>
    <w:rsid w:val="001127F9"/>
    <w:rsid w:val="008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52C4"/>
  <w15:docId w15:val="{CD13A7F7-51F6-4C38-9472-EE2E03D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1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4" w:lineRule="auto"/>
      <w:jc w:val="right"/>
    </w:pPr>
    <w:rPr>
      <w:rFonts w:ascii="Arial" w:eastAsia="Arial" w:hAnsi="Arial" w:cs="Arial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UK41KfzRL9SjFFnmZQmdJBdMA==">CgMxLjAyCGguZ2pkZ3hzOAByITFyWkd4WEpwZmNGdzVvbTZabE14YkhsUlRScWRBalNRXw==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2024-05-03T11:36:00Z</dcterms:created>
  <dcterms:modified xsi:type="dcterms:W3CDTF">2024-05-03T11:36:00Z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00e9ed8dcee31c96c5feb2df1c48feb035c65746711d81649d0da1b0944417a6</vt:lpwstr>
  </property>
</Properties>
</file>