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2C79" w14:textId="77777777" w:rsidR="00501D95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sz w:val="20"/>
          <w:szCs w:val="20"/>
        </w:rPr>
      </w:pPr>
      <w:bookmarkStart w:id="0" w:name="_heading=h.5h4kamnqsq4k"/>
      <w:bookmarkEnd w:id="0"/>
      <w:r>
        <w:rPr>
          <w:rFonts w:ascii="Arial" w:hAnsi="Arial"/>
          <w:b/>
          <w:sz w:val="20"/>
        </w:rPr>
        <w:t>L18: Annual General Mandate 2024</w:t>
      </w:r>
    </w:p>
    <w:p w14:paraId="0E4AEFB5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bookmarkStart w:id="1" w:name="_heading=h.gjdgxs"/>
      <w:bookmarkEnd w:id="1"/>
      <w:r w:rsidRPr="00FC363C">
        <w:rPr>
          <w:rFonts w:ascii="Arial" w:hAnsi="Arial"/>
          <w:sz w:val="20"/>
        </w:rPr>
        <w:t>On April 24, 2024, Investment and Construction JSC No.18 announced General Mandate No. 31/NQ-DHDCD-L18 as follows:</w:t>
      </w:r>
    </w:p>
    <w:p w14:paraId="6BDAACBF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Article 1: Approve the full text of the annual Reports of: The Board of Directors, General Manager and Supervisory Board on the company's act</w:t>
      </w:r>
      <w:r w:rsidRPr="00FC363C">
        <w:rPr>
          <w:rFonts w:ascii="Arial" w:hAnsi="Arial"/>
          <w:sz w:val="20"/>
        </w:rPr>
        <w:t>ivities in 2023.</w:t>
      </w:r>
    </w:p>
    <w:p w14:paraId="3F220BDB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Production and business results in 2023:</w:t>
      </w:r>
    </w:p>
    <w:tbl>
      <w:tblPr>
        <w:tblStyle w:val="a"/>
        <w:tblW w:w="9010" w:type="dxa"/>
        <w:jc w:val="center"/>
        <w:tblLayout w:type="fixed"/>
        <w:tblLook w:val="0400" w:firstRow="0" w:lastRow="0" w:firstColumn="0" w:lastColumn="0" w:noHBand="0" w:noVBand="1"/>
      </w:tblPr>
      <w:tblGrid>
        <w:gridCol w:w="699"/>
        <w:gridCol w:w="4017"/>
        <w:gridCol w:w="1337"/>
        <w:gridCol w:w="1602"/>
        <w:gridCol w:w="1355"/>
      </w:tblGrid>
      <w:tr w:rsidR="00501D95" w:rsidRPr="00FC363C" w14:paraId="07660C77" w14:textId="77777777">
        <w:trPr>
          <w:trHeight w:val="8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2D9CC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E3B444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Content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875CD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Plan (VND)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023AB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Result (VND)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258D1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Results/Plan</w:t>
            </w:r>
          </w:p>
        </w:tc>
      </w:tr>
      <w:tr w:rsidR="00501D95" w:rsidRPr="00FC363C" w14:paraId="2718B693" w14:textId="77777777">
        <w:trPr>
          <w:trHeight w:val="5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0F8F01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91FB1C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Consolidated business results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F39F84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3B79B2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B88D7D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D95" w:rsidRPr="00FC363C" w14:paraId="61C24BE3" w14:textId="77777777">
        <w:trPr>
          <w:trHeight w:val="5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20E7C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6907A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output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5842D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3,115.0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09783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3,360.9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B9B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107.9%</w:t>
            </w:r>
          </w:p>
        </w:tc>
      </w:tr>
      <w:tr w:rsidR="00501D95" w:rsidRPr="00FC363C" w14:paraId="4F4E917B" w14:textId="77777777">
        <w:trPr>
          <w:trHeight w:val="51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5E63C5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CA5157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revenue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43563DB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2,892.9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F44721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3,081.9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D8E824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106.5%</w:t>
            </w:r>
          </w:p>
        </w:tc>
      </w:tr>
      <w:tr w:rsidR="00501D95" w:rsidRPr="00FC363C" w14:paraId="5EA1FB0C" w14:textId="77777777">
        <w:trPr>
          <w:trHeight w:val="5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3004D0" w14:textId="77777777" w:rsidR="00501D95" w:rsidRPr="00FC363C" w:rsidRDefault="00501D95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1354CF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Revenue from construction and installation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4D6A2C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2,298.0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92FA094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2,876.9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304A5F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D95" w:rsidRPr="00FC363C" w14:paraId="111A6E99" w14:textId="77777777">
        <w:trPr>
          <w:trHeight w:val="5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28E1B7" w14:textId="77777777" w:rsidR="00501D95" w:rsidRPr="00FC363C" w:rsidRDefault="00501D95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667E19A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Real estate transfer revenue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A46ACA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582.4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45A8F7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145.6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3E60F5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D95" w:rsidRPr="00FC363C" w14:paraId="26E108B5" w14:textId="77777777">
        <w:trPr>
          <w:trHeight w:val="5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11A405" w14:textId="77777777" w:rsidR="00501D95" w:rsidRPr="00FC363C" w:rsidRDefault="00501D95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CE35B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Other revenue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F0C9B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12.5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7819F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59.4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8935C8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D95" w:rsidRPr="00FC363C" w14:paraId="70F40967" w14:textId="77777777">
        <w:trPr>
          <w:trHeight w:val="51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217D36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7170E5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collected capital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A8DB7E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2,788.5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9D42D3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3,898.5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D8A30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139.8%</w:t>
            </w:r>
          </w:p>
        </w:tc>
      </w:tr>
      <w:tr w:rsidR="00501D95" w:rsidRPr="00FC363C" w14:paraId="5FB607A1" w14:textId="77777777">
        <w:trPr>
          <w:trHeight w:val="5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D19B2F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F3CC5B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project construction investment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CF386F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686.3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58E802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404.3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D68B9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58.9%</w:t>
            </w:r>
          </w:p>
        </w:tc>
      </w:tr>
      <w:tr w:rsidR="00501D95" w:rsidRPr="00FC363C" w14:paraId="5E09873A" w14:textId="77777777">
        <w:trPr>
          <w:trHeight w:val="51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54F9B4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A04F34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equipment investment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AF671CA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48.7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B7841A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29.1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7B737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59.7%</w:t>
            </w:r>
          </w:p>
        </w:tc>
      </w:tr>
      <w:tr w:rsidR="00501D95" w:rsidRPr="00FC363C" w14:paraId="53981360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95A49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843F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Profit before tax: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B4586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68.5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AF98E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73.1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9553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106.6%</w:t>
            </w:r>
          </w:p>
        </w:tc>
      </w:tr>
      <w:tr w:rsidR="00501D95" w:rsidRPr="00FC363C" w14:paraId="384D011A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C2C1A6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FE8531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Business results of the Holding company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8681D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F0D07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C659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D95" w:rsidRPr="00FC363C" w14:paraId="0893CED2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3001D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33BD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Output value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BA3D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1,250.0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A195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939.1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A35E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75.1%</w:t>
            </w:r>
          </w:p>
        </w:tc>
      </w:tr>
      <w:tr w:rsidR="00501D95" w:rsidRPr="00FC363C" w14:paraId="67149644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971FC3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E5E5D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revenue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2AE930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1,200.0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4C2F2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754.9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BAC49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62.9%</w:t>
            </w:r>
          </w:p>
        </w:tc>
      </w:tr>
      <w:tr w:rsidR="00501D95" w:rsidRPr="00FC363C" w14:paraId="4562D90F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D59E80" w14:textId="77777777" w:rsidR="00501D95" w:rsidRPr="00FC363C" w:rsidRDefault="00501D95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D2E484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Revenue from construction and installation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39792FA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800.0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EE49E1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607.7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4F409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D95" w:rsidRPr="00FC363C" w14:paraId="56349E33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DDB7A" w14:textId="77777777" w:rsidR="00501D95" w:rsidRPr="00FC363C" w:rsidRDefault="00501D95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649DF0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Real estate transfer revenue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AFD747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400.0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86AF00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145.6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DF62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D95" w:rsidRPr="00FC363C" w14:paraId="3DFB73E3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5DE13" w14:textId="77777777" w:rsidR="00501D95" w:rsidRPr="00FC363C" w:rsidRDefault="00501D95">
            <w:pP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4546A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Other revenue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581D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3D06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EE671" w14:textId="77777777" w:rsidR="00501D95" w:rsidRPr="00FC363C" w:rsidRDefault="00501D95">
            <w:pP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1D95" w:rsidRPr="00FC363C" w14:paraId="6C2F6681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299A89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BE5ED5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collected capital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CE207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1,030.0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BFEECA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1,287.7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387D6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125.0%</w:t>
            </w:r>
          </w:p>
        </w:tc>
      </w:tr>
      <w:tr w:rsidR="00501D95" w:rsidRPr="00FC363C" w14:paraId="28955C2F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7C426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70C0D4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investment: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46769D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654.3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54244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387.7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00F3C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59.3%</w:t>
            </w:r>
          </w:p>
        </w:tc>
      </w:tr>
      <w:tr w:rsidR="00501D95" w:rsidRPr="00FC363C" w14:paraId="68A4C1C3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FE3BCA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848572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Investment (VND)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44316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25.7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2946F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23.7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9545D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92.1%</w:t>
            </w:r>
          </w:p>
        </w:tc>
      </w:tr>
      <w:tr w:rsidR="00501D95" w:rsidRPr="00FC363C" w14:paraId="7BF0899E" w14:textId="77777777">
        <w:trPr>
          <w:trHeight w:val="54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A375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lastRenderedPageBreak/>
              <w:t>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192AB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Profit before tax: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7A35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46.0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20EA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48.0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A0D6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104.4%</w:t>
            </w:r>
          </w:p>
        </w:tc>
      </w:tr>
    </w:tbl>
    <w:p w14:paraId="55DC7FDD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 xml:space="preserve">Article 2: </w:t>
      </w:r>
      <w:r w:rsidRPr="00FC363C">
        <w:rPr>
          <w:rFonts w:ascii="Arial" w:hAnsi="Arial"/>
          <w:sz w:val="20"/>
        </w:rPr>
        <w:t>Approve the full text of the Separate Consolidated Financial Statements 2023 audited by TTP Auditing Company Limited.</w:t>
      </w:r>
    </w:p>
    <w:p w14:paraId="072218BB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 xml:space="preserve">Article 3: </w:t>
      </w:r>
      <w:r w:rsidRPr="00FC363C">
        <w:rPr>
          <w:rFonts w:ascii="Arial" w:hAnsi="Arial"/>
          <w:sz w:val="20"/>
        </w:rPr>
        <w:t>Approve the plan for distribution of profit after tax in 2023, including the following contents:</w:t>
      </w:r>
    </w:p>
    <w:p w14:paraId="421B706F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 xml:space="preserve">3.1. The plan for distribution of the Company's profit after tax in 2023 is as follows: (VI): </w:t>
      </w:r>
    </w:p>
    <w:p w14:paraId="31B53C80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1. Profit before tax in 2023: VND 48,023,348,139</w:t>
      </w:r>
    </w:p>
    <w:p w14:paraId="10DEBCBD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2. Profit after</w:t>
      </w:r>
      <w:r w:rsidRPr="00FC363C">
        <w:rPr>
          <w:rFonts w:ascii="Arial" w:hAnsi="Arial"/>
          <w:sz w:val="20"/>
        </w:rPr>
        <w:t xml:space="preserve"> tax in 2023: VND 40,548,494,893 </w:t>
      </w:r>
    </w:p>
    <w:p w14:paraId="4BFB6804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 xml:space="preserve">3. Appropriation to the Company's funds: VND 2,431,966,893 </w:t>
      </w:r>
    </w:p>
    <w:p w14:paraId="06D234A1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 xml:space="preserve">a. Welfare fund: VND 729,590,068; </w:t>
      </w:r>
    </w:p>
    <w:p w14:paraId="4939A96D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b. Bonus fund: VND 1,702,376,825;</w:t>
      </w:r>
    </w:p>
    <w:p w14:paraId="4425A97E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tabs>
          <w:tab w:val="left" w:pos="5480"/>
        </w:tabs>
        <w:spacing w:after="120" w:line="360" w:lineRule="auto"/>
        <w:rPr>
          <w:rFonts w:ascii="Arial" w:eastAsia="Arial" w:hAnsi="Arial" w:cs="Arial"/>
          <w:sz w:val="20"/>
          <w:szCs w:val="20"/>
        </w:rPr>
        <w:sectPr w:rsidR="00501D95" w:rsidRPr="00FC363C">
          <w:footerReference w:type="default" r:id="rId8"/>
          <w:pgSz w:w="11900" w:h="16840"/>
          <w:pgMar w:top="1440" w:right="1440" w:bottom="1440" w:left="1440" w:header="0" w:footer="0" w:gutter="0"/>
          <w:pgNumType w:start="1"/>
          <w:cols w:space="720"/>
        </w:sectPr>
      </w:pPr>
      <w:r w:rsidRPr="00FC363C">
        <w:rPr>
          <w:rFonts w:ascii="Arial" w:hAnsi="Arial"/>
          <w:sz w:val="20"/>
        </w:rPr>
        <w:t xml:space="preserve">4. </w:t>
      </w:r>
      <w:r w:rsidRPr="00FC363C">
        <w:rPr>
          <w:rFonts w:ascii="Arial" w:hAnsi="Arial"/>
          <w:sz w:val="20"/>
        </w:rPr>
        <w:t>Dividend payment for 2023 to shareholders:</w:t>
      </w:r>
      <w:r w:rsidRPr="00FC363C">
        <w:rPr>
          <w:rFonts w:ascii="Arial" w:hAnsi="Arial"/>
          <w:sz w:val="20"/>
        </w:rPr>
        <w:t xml:space="preserve"> 10% of charter capital, in cash, equal to VND 38,116,528,000.</w:t>
      </w:r>
    </w:p>
    <w:p w14:paraId="73E41A04" w14:textId="77777777" w:rsidR="00501D95" w:rsidRPr="00FC363C" w:rsidRDefault="00016C9E">
      <w:pP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Article 4: Approve the Company's production and business plan for 2024, including the following contents:</w:t>
      </w:r>
    </w:p>
    <w:tbl>
      <w:tblPr>
        <w:tblStyle w:val="a0"/>
        <w:tblW w:w="9010" w:type="dxa"/>
        <w:tblLayout w:type="fixed"/>
        <w:tblLook w:val="0400" w:firstRow="0" w:lastRow="0" w:firstColumn="0" w:lastColumn="0" w:noHBand="0" w:noVBand="1"/>
      </w:tblPr>
      <w:tblGrid>
        <w:gridCol w:w="679"/>
        <w:gridCol w:w="3961"/>
        <w:gridCol w:w="1227"/>
        <w:gridCol w:w="1642"/>
        <w:gridCol w:w="1501"/>
      </w:tblGrid>
      <w:tr w:rsidR="00501D95" w:rsidRPr="00FC363C" w14:paraId="66E6CBC1" w14:textId="77777777">
        <w:trPr>
          <w:trHeight w:val="9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C7041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F4AAEA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Target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4DB49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Unit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14E52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Plan 2024 for LICOGI18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4D489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C</w:t>
            </w:r>
            <w:r w:rsidRPr="00FC363C">
              <w:rPr>
                <w:rFonts w:ascii="Arial" w:hAnsi="Arial"/>
                <w:sz w:val="20"/>
              </w:rPr>
              <w:t>onsolidated plan for 2024</w:t>
            </w:r>
          </w:p>
        </w:tc>
      </w:tr>
      <w:tr w:rsidR="00501D95" w:rsidRPr="00FC363C" w14:paraId="736EE06B" w14:textId="7777777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F23917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29060B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output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7DB283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DA1C63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1,450.0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3E848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3,788.5</w:t>
            </w:r>
          </w:p>
        </w:tc>
      </w:tr>
      <w:tr w:rsidR="00501D95" w:rsidRPr="00FC363C" w14:paraId="4F1531D9" w14:textId="7777777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A45D9B" w14:textId="77777777" w:rsidR="00501D95" w:rsidRPr="00FC363C" w:rsidRDefault="00501D95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FA8038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Value of construction volume: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B9B8A5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916E59A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1,446.2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730F0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3,720.7</w:t>
            </w:r>
          </w:p>
        </w:tc>
      </w:tr>
      <w:tr w:rsidR="00501D95" w:rsidRPr="00FC363C" w14:paraId="791E8172" w14:textId="77777777">
        <w:trPr>
          <w:trHeight w:val="3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2640A6" w14:textId="77777777" w:rsidR="00501D95" w:rsidRPr="00FC363C" w:rsidRDefault="00501D95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58B12F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Other business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362A47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A4BEE7A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3.8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088D3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67.8</w:t>
            </w:r>
          </w:p>
        </w:tc>
      </w:tr>
      <w:tr w:rsidR="00501D95" w:rsidRPr="00FC363C" w14:paraId="04C9885E" w14:textId="7777777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258E60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77D7ED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revenue: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479132B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3E13084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1,475.0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0EEDE8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3,857.6</w:t>
            </w:r>
          </w:p>
        </w:tc>
      </w:tr>
      <w:tr w:rsidR="00501D95" w:rsidRPr="00FC363C" w14:paraId="5CD5B9E4" w14:textId="7777777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8142A2" w14:textId="77777777" w:rsidR="00501D95" w:rsidRPr="00FC363C" w:rsidRDefault="00501D95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3E61B7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Revenue from construction and installation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DB788A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50351C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871.6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642B1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3,008.6</w:t>
            </w:r>
          </w:p>
        </w:tc>
      </w:tr>
      <w:tr w:rsidR="00501D95" w:rsidRPr="00FC363C" w14:paraId="39769A5E" w14:textId="7777777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4943F0" w14:textId="77777777" w:rsidR="00501D95" w:rsidRPr="00FC363C" w:rsidRDefault="00501D95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BBFF514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Real estate transfer revenue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E29BE2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270DFB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600.0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4371E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800.0</w:t>
            </w:r>
          </w:p>
        </w:tc>
      </w:tr>
      <w:tr w:rsidR="00501D95" w:rsidRPr="00FC363C" w14:paraId="24459B75" w14:textId="77777777">
        <w:trPr>
          <w:trHeight w:val="40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0CD900" w14:textId="77777777" w:rsidR="00501D95" w:rsidRPr="00FC363C" w:rsidRDefault="00501D95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5ED881B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Other revenue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48B22A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8BCB535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3.4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80A4F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49.0</w:t>
            </w:r>
          </w:p>
        </w:tc>
      </w:tr>
      <w:tr w:rsidR="00501D95" w:rsidRPr="00FC363C" w14:paraId="2C549F9C" w14:textId="7777777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D69976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6E2BB6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collected capital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33BA4C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22E0C3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1,150.0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9849D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3,283.2</w:t>
            </w:r>
          </w:p>
        </w:tc>
      </w:tr>
      <w:tr w:rsidR="00501D95" w:rsidRPr="00FC363C" w14:paraId="3BFBA804" w14:textId="77777777">
        <w:trPr>
          <w:trHeight w:val="40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57BDE7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C1351C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investment value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C3610F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136D33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1,938.7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51B0E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2,087.1</w:t>
            </w:r>
          </w:p>
        </w:tc>
      </w:tr>
      <w:tr w:rsidR="00501D95" w:rsidRPr="00FC363C" w14:paraId="4723FF03" w14:textId="7777777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0697A18" w14:textId="77777777" w:rsidR="00501D95" w:rsidRPr="00FC363C" w:rsidRDefault="00501D95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97DBFF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Basic construction investment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83B1B8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E9B38D1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1. 876.7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DFAE0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2,012.7</w:t>
            </w:r>
          </w:p>
        </w:tc>
      </w:tr>
      <w:tr w:rsidR="00501D95" w:rsidRPr="00FC363C" w14:paraId="548D3145" w14:textId="77777777">
        <w:trPr>
          <w:trHeight w:val="4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FADFF8" w14:textId="77777777" w:rsidR="00501D95" w:rsidRPr="00FC363C" w:rsidRDefault="00501D95">
            <w:pP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56F0AA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- Equipment and asset investment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FF98A0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331201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62.0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A7C06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74.4</w:t>
            </w:r>
          </w:p>
        </w:tc>
      </w:tr>
      <w:tr w:rsidR="00501D95" w:rsidRPr="00FC363C" w14:paraId="7C539E72" w14:textId="77777777">
        <w:trPr>
          <w:trHeight w:val="40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7A80C9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4F7E59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Total profit before tax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530429B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Billion VND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777D8E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65.0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C7D56E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92.6</w:t>
            </w:r>
          </w:p>
        </w:tc>
      </w:tr>
      <w:tr w:rsidR="00501D95" w:rsidRPr="00FC363C" w14:paraId="6E50576F" w14:textId="77777777">
        <w:trPr>
          <w:trHeight w:val="4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EF2722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612FE71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Expected average dividend rate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1B8039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%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B6E060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EA1C6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12</w:t>
            </w:r>
          </w:p>
        </w:tc>
      </w:tr>
    </w:tbl>
    <w:p w14:paraId="1B372A1F" w14:textId="77777777" w:rsidR="00501D95" w:rsidRPr="00FC363C" w:rsidRDefault="00501D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</w:p>
    <w:p w14:paraId="2E57B736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lastRenderedPageBreak/>
        <w:t xml:space="preserve">Article 5: </w:t>
      </w:r>
      <w:r w:rsidRPr="00FC363C">
        <w:rPr>
          <w:rFonts w:ascii="Arial" w:hAnsi="Arial"/>
          <w:sz w:val="20"/>
        </w:rPr>
        <w:t>Approve the audit company includes the following contents:</w:t>
      </w:r>
    </w:p>
    <w:p w14:paraId="761C652F" w14:textId="77777777" w:rsidR="00501D95" w:rsidRPr="00FC363C" w:rsidRDefault="00016C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Approve the List of audit companies to select as the audit company and review the Company's Financial Statements in 2024 as follows.</w:t>
      </w:r>
    </w:p>
    <w:p w14:paraId="3A62C2B9" w14:textId="77777777" w:rsidR="00501D95" w:rsidRPr="00FC363C" w:rsidRDefault="0001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CPA Vietnam Auditing Company Limited;</w:t>
      </w:r>
    </w:p>
    <w:p w14:paraId="79D4F66A" w14:textId="77777777" w:rsidR="00501D95" w:rsidRPr="00FC363C" w:rsidRDefault="0001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Anviet Auditing Company Limited</w:t>
      </w:r>
    </w:p>
    <w:p w14:paraId="79FE3E16" w14:textId="77777777" w:rsidR="00501D95" w:rsidRPr="00FC363C" w:rsidRDefault="0001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UHY Audit And Advisory Services Limited</w:t>
      </w:r>
    </w:p>
    <w:p w14:paraId="29A0BC51" w14:textId="77777777" w:rsidR="00501D95" w:rsidRPr="00FC363C" w:rsidRDefault="0001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International</w:t>
      </w:r>
      <w:r w:rsidRPr="00FC363C">
        <w:rPr>
          <w:rFonts w:ascii="Arial" w:hAnsi="Arial"/>
          <w:sz w:val="20"/>
        </w:rPr>
        <w:t xml:space="preserve"> Auditing and Valuation Company Limited</w:t>
      </w:r>
    </w:p>
    <w:p w14:paraId="16653FAD" w14:textId="77777777" w:rsidR="00501D95" w:rsidRPr="00FC363C" w:rsidRDefault="00016C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Moorc AISC Auditing Co., Ltd. Hanoi Branch</w:t>
      </w:r>
    </w:p>
    <w:p w14:paraId="454897EE" w14:textId="77777777" w:rsidR="00501D95" w:rsidRPr="00FC363C" w:rsidRDefault="00016C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The General Meeting unanimously authorizes the Board of Directors to decide on the selection of one of the audit companies on the list and assign the General Manager to sign a contract to provide auditing services with the selected independent audit compan</w:t>
      </w:r>
      <w:r w:rsidRPr="00FC363C">
        <w:rPr>
          <w:rFonts w:ascii="Arial" w:hAnsi="Arial"/>
          <w:sz w:val="20"/>
        </w:rPr>
        <w:t>y to perform the audit and review the Financial Statements 2024 of the Company.</w:t>
      </w:r>
    </w:p>
    <w:p w14:paraId="0CF95543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Article 6: Approve the salary and remuneration of the Board of Directors and the Supervisory Board in 2024 as follows:</w:t>
      </w:r>
    </w:p>
    <w:tbl>
      <w:tblPr>
        <w:tblStyle w:val="a1"/>
        <w:tblW w:w="9010" w:type="dxa"/>
        <w:jc w:val="center"/>
        <w:tblLayout w:type="fixed"/>
        <w:tblLook w:val="0400" w:firstRow="0" w:lastRow="0" w:firstColumn="0" w:lastColumn="0" w:noHBand="0" w:noVBand="1"/>
      </w:tblPr>
      <w:tblGrid>
        <w:gridCol w:w="701"/>
        <w:gridCol w:w="4766"/>
        <w:gridCol w:w="3543"/>
      </w:tblGrid>
      <w:tr w:rsidR="00501D95" w:rsidRPr="00FC363C" w14:paraId="5D325C1D" w14:textId="77777777">
        <w:trPr>
          <w:trHeight w:val="685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48AFF9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93CBF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Position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0544E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Remuneration/person/month (VND)</w:t>
            </w:r>
          </w:p>
        </w:tc>
      </w:tr>
      <w:tr w:rsidR="00501D95" w:rsidRPr="00FC363C" w14:paraId="337042E3" w14:textId="77777777">
        <w:trPr>
          <w:trHeight w:val="4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004B5D3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FC0521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Chair of the Board of Directors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193E1B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50,000,000</w:t>
            </w:r>
          </w:p>
        </w:tc>
      </w:tr>
      <w:tr w:rsidR="00501D95" w:rsidRPr="00FC363C" w14:paraId="1C653270" w14:textId="77777777">
        <w:trPr>
          <w:trHeight w:val="4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4C2D754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1CB9BB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Non-executive member of the Board of Directors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20979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15,000,000</w:t>
            </w:r>
          </w:p>
        </w:tc>
      </w:tr>
      <w:tr w:rsidR="00501D95" w:rsidRPr="00FC363C" w14:paraId="32EA2FF3" w14:textId="77777777">
        <w:trPr>
          <w:trHeight w:val="449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14CA25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3FCD18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Executive Chief of the Supervisory Board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FEED81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30,000,000</w:t>
            </w:r>
          </w:p>
        </w:tc>
      </w:tr>
      <w:tr w:rsidR="00501D95" w:rsidRPr="00FC363C" w14:paraId="6FC794AD" w14:textId="77777777">
        <w:trPr>
          <w:trHeight w:val="425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D3E5F0F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CD19DD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Executive member of the Supervisory Board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A1F1D7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15,000,000</w:t>
            </w:r>
          </w:p>
        </w:tc>
      </w:tr>
      <w:tr w:rsidR="00501D95" w:rsidRPr="00FC363C" w14:paraId="1CB3989C" w14:textId="77777777">
        <w:trPr>
          <w:trHeight w:val="425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69FAD4D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6C857F0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Non-executive member of the Supervisory Board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E25A6C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12,000,000</w:t>
            </w:r>
          </w:p>
        </w:tc>
      </w:tr>
      <w:tr w:rsidR="00501D95" w:rsidRPr="00FC363C" w14:paraId="2A31B079" w14:textId="77777777">
        <w:trPr>
          <w:trHeight w:val="425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F25511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BB63016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Person in charge of Corporate Governance -cum- Secretariat of the Board of Directors</w:t>
            </w:r>
            <w:r w:rsidRPr="00FC363C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5F9DB2" w14:textId="77777777" w:rsidR="00501D95" w:rsidRPr="00FC363C" w:rsidRDefault="0001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C363C">
              <w:rPr>
                <w:rFonts w:ascii="Arial" w:hAnsi="Arial"/>
                <w:sz w:val="20"/>
              </w:rPr>
              <w:t>6,000,000</w:t>
            </w:r>
          </w:p>
        </w:tc>
      </w:tr>
    </w:tbl>
    <w:p w14:paraId="2CF855EC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 xml:space="preserve">Article 7: </w:t>
      </w:r>
      <w:r w:rsidRPr="00FC363C">
        <w:rPr>
          <w:rFonts w:ascii="Arial" w:hAnsi="Arial"/>
          <w:sz w:val="20"/>
        </w:rPr>
        <w:t>The section on supplementary election of members of the Supervisory Board for the 2021-2026 term includes the following contents:</w:t>
      </w:r>
    </w:p>
    <w:p w14:paraId="4E05143A" w14:textId="77777777" w:rsidR="00501D95" w:rsidRPr="00FC363C" w:rsidRDefault="00016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 xml:space="preserve">The General Meeting approves and votes to approve the Resignation Letter from the position of Member of the Supervisory Board </w:t>
      </w:r>
      <w:r w:rsidRPr="00FC363C">
        <w:rPr>
          <w:rFonts w:ascii="Arial" w:hAnsi="Arial"/>
          <w:sz w:val="20"/>
        </w:rPr>
        <w:t>for the 2021-2026 term for Ms. Than Thi Len.</w:t>
      </w:r>
      <w:r w:rsidRPr="00FC363C">
        <w:rPr>
          <w:rFonts w:ascii="Arial" w:hAnsi="Arial"/>
          <w:sz w:val="20"/>
        </w:rPr>
        <w:t xml:space="preserve"> Ms. Than Thi Len is dismissed from the position of Member of the Supervisory Board immediately upon the approval of the General Meeting.</w:t>
      </w:r>
    </w:p>
    <w:p w14:paraId="33E5D893" w14:textId="77777777" w:rsidR="00501D95" w:rsidRPr="00FC363C" w:rsidRDefault="00016C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Approve the results of the supplementary election of members of the Compan</w:t>
      </w:r>
      <w:r w:rsidRPr="00FC363C">
        <w:rPr>
          <w:rFonts w:ascii="Arial" w:hAnsi="Arial"/>
          <w:sz w:val="20"/>
        </w:rPr>
        <w:t>y's Supervisory Board for the 2021-2026 term for the following Mr./Ms.:</w:t>
      </w:r>
    </w:p>
    <w:p w14:paraId="13B261A3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Ms. Bui Thi Thuan number of votes 31,865,238, reaching 100%</w:t>
      </w:r>
    </w:p>
    <w:p w14:paraId="3D5862B6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Article 8: Terms of enforcement</w:t>
      </w:r>
    </w:p>
    <w:p w14:paraId="02CFB850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lastRenderedPageBreak/>
        <w:t>This General Mandate was approved by the Annual General Meeting of Shareholders 2024 of Inve</w:t>
      </w:r>
      <w:r w:rsidRPr="00FC363C">
        <w:rPr>
          <w:rFonts w:ascii="Arial" w:hAnsi="Arial"/>
          <w:sz w:val="20"/>
        </w:rPr>
        <w:t>stment and Construction JSC No.18 and takes effect from April 24, 2024.</w:t>
      </w:r>
    </w:p>
    <w:p w14:paraId="75DE8085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 xml:space="preserve">Members of the Board of Directors, the Supervisory Board, and the Board of Management are responsible for implementing this General Mandate and organizing the implementation according </w:t>
      </w:r>
      <w:r w:rsidRPr="00FC363C">
        <w:rPr>
          <w:rFonts w:ascii="Arial" w:hAnsi="Arial"/>
          <w:sz w:val="20"/>
        </w:rPr>
        <w:t>to their functions, tasks, and powers, in accordance with the provisions of the law and the Company's Charter on organization and operation.</w:t>
      </w:r>
    </w:p>
    <w:p w14:paraId="73F555A4" w14:textId="77777777" w:rsidR="00501D95" w:rsidRPr="00FC363C" w:rsidRDefault="00016C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sz w:val="20"/>
          <w:szCs w:val="20"/>
        </w:rPr>
      </w:pPr>
      <w:r w:rsidRPr="00FC363C">
        <w:rPr>
          <w:rFonts w:ascii="Arial" w:hAnsi="Arial"/>
          <w:sz w:val="20"/>
        </w:rPr>
        <w:t>The Board of Directors is responsible for reporting the implementation results to the General Meeting of Shareholde</w:t>
      </w:r>
      <w:r w:rsidRPr="00FC363C">
        <w:rPr>
          <w:rFonts w:ascii="Arial" w:hAnsi="Arial"/>
          <w:sz w:val="20"/>
        </w:rPr>
        <w:t>rs at the annual meeting 2025.</w:t>
      </w:r>
    </w:p>
    <w:sectPr w:rsidR="00501D95" w:rsidRPr="00FC363C">
      <w:type w:val="continuous"/>
      <w:pgSz w:w="11900" w:h="16840"/>
      <w:pgMar w:top="1440" w:right="1440" w:bottom="1440" w:left="144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C3AD" w14:textId="77777777" w:rsidR="00000000" w:rsidRDefault="00016C9E">
      <w:r>
        <w:separator/>
      </w:r>
    </w:p>
  </w:endnote>
  <w:endnote w:type="continuationSeparator" w:id="0">
    <w:p w14:paraId="33A1B92C" w14:textId="77777777" w:rsidR="00000000" w:rsidRDefault="0001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6A3" w14:textId="77777777" w:rsidR="00501D95" w:rsidRDefault="00501D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77EE" w14:textId="77777777" w:rsidR="00000000" w:rsidRDefault="00016C9E">
      <w:r>
        <w:separator/>
      </w:r>
    </w:p>
  </w:footnote>
  <w:footnote w:type="continuationSeparator" w:id="0">
    <w:p w14:paraId="236B2530" w14:textId="77777777" w:rsidR="00000000" w:rsidRDefault="0001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1C"/>
    <w:multiLevelType w:val="multilevel"/>
    <w:tmpl w:val="D36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912F56"/>
    <w:multiLevelType w:val="multilevel"/>
    <w:tmpl w:val="8206B166"/>
    <w:lvl w:ilvl="0">
      <w:start w:val="1"/>
      <w:numFmt w:val="decimal"/>
      <w:lvlText w:val="5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3666605"/>
    <w:multiLevelType w:val="multilevel"/>
    <w:tmpl w:val="4838E7C0"/>
    <w:lvl w:ilvl="0">
      <w:start w:val="1"/>
      <w:numFmt w:val="decimal"/>
      <w:lvlText w:val="7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95"/>
    <w:rsid w:val="00016C9E"/>
    <w:rsid w:val="00501D95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37F0"/>
  <w15:docId w15:val="{02A2EF84-57E9-4AA3-9E40-D2615BAD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E5167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2"/>
      <w:szCs w:val="92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BE5167"/>
      <w:sz w:val="13"/>
      <w:szCs w:val="13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40" w:line="310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269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1">
    <w:name w:val="Heading #3"/>
    <w:basedOn w:val="Normal"/>
    <w:link w:val="Heading30"/>
    <w:pPr>
      <w:spacing w:line="192" w:lineRule="auto"/>
      <w:outlineLvl w:val="2"/>
    </w:pPr>
    <w:rPr>
      <w:rFonts w:ascii="Times New Roman" w:eastAsia="Times New Roman" w:hAnsi="Times New Roman" w:cs="Times New Roman"/>
      <w:color w:val="BE5167"/>
    </w:rPr>
  </w:style>
  <w:style w:type="paragraph" w:customStyle="1" w:styleId="Other0">
    <w:name w:val="Other"/>
    <w:basedOn w:val="Normal"/>
    <w:link w:val="Other"/>
    <w:pPr>
      <w:spacing w:after="40" w:line="310" w:lineRule="auto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Normal"/>
    <w:link w:val="Bodytext3"/>
    <w:pPr>
      <w:ind w:firstLine="280"/>
    </w:pPr>
    <w:rPr>
      <w:rFonts w:ascii="Arial" w:eastAsia="Arial" w:hAnsi="Arial" w:cs="Arial"/>
      <w:sz w:val="11"/>
      <w:szCs w:val="11"/>
    </w:rPr>
  </w:style>
  <w:style w:type="paragraph" w:customStyle="1" w:styleId="Heading11">
    <w:name w:val="Heading #1"/>
    <w:basedOn w:val="Normal"/>
    <w:link w:val="Heading10"/>
    <w:pPr>
      <w:spacing w:line="180" w:lineRule="auto"/>
      <w:ind w:firstLine="240"/>
      <w:outlineLvl w:val="0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Bodytext50">
    <w:name w:val="Body text (5)"/>
    <w:basedOn w:val="Normal"/>
    <w:link w:val="Bodytext5"/>
    <w:rPr>
      <w:rFonts w:ascii="Cambria" w:eastAsia="Cambria" w:hAnsi="Cambria" w:cs="Cambria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BE5167"/>
      <w:sz w:val="13"/>
      <w:szCs w:val="13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gzokG/mD8oR7ai4uyfa4Pwrnw==">CgMxLjAyDmguNWg0a2FtbnFzcTRrMghoLmdqZGd4czgAciExNl9kVi1mZ3AzZzNCdXlHRDdRblpMMzNfSmNmbU03dHc=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Đinh Thị Chung TA45A</cp:lastModifiedBy>
  <cp:revision>3</cp:revision>
  <dcterms:created xsi:type="dcterms:W3CDTF">2024-05-03T02:03:00Z</dcterms:created>
  <dcterms:modified xsi:type="dcterms:W3CDTF">2024-05-04T02:12:00Z</dcterms:modified>
</cp:coreProperties>
</file>