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AE5B9" w14:textId="77777777" w:rsidR="00CE44A3" w:rsidRPr="00574F57" w:rsidRDefault="00574F57" w:rsidP="00B20483">
      <w:pPr>
        <w:keepNext/>
        <w:pBdr>
          <w:top w:val="nil"/>
          <w:left w:val="nil"/>
          <w:bottom w:val="nil"/>
          <w:right w:val="nil"/>
          <w:between w:val="nil"/>
        </w:pBdr>
        <w:tabs>
          <w:tab w:val="left" w:pos="567"/>
          <w:tab w:val="left" w:pos="6607"/>
        </w:tabs>
        <w:spacing w:after="120" w:line="360" w:lineRule="auto"/>
        <w:jc w:val="both"/>
        <w:rPr>
          <w:rFonts w:ascii="Arial" w:eastAsia="Arial" w:hAnsi="Arial" w:cs="Arial"/>
          <w:b/>
          <w:color w:val="010000"/>
          <w:sz w:val="20"/>
          <w:szCs w:val="20"/>
        </w:rPr>
      </w:pPr>
      <w:r w:rsidRPr="00574F57">
        <w:rPr>
          <w:rFonts w:ascii="Arial" w:hAnsi="Arial" w:cs="Arial"/>
          <w:b/>
          <w:bCs/>
          <w:color w:val="010000"/>
          <w:sz w:val="20"/>
          <w:szCs w:val="20"/>
        </w:rPr>
        <w:t>L44:</w:t>
      </w:r>
      <w:r w:rsidRPr="00574F57">
        <w:rPr>
          <w:rFonts w:ascii="Arial" w:hAnsi="Arial" w:cs="Arial"/>
          <w:b/>
          <w:color w:val="010000"/>
          <w:sz w:val="20"/>
          <w:szCs w:val="20"/>
        </w:rPr>
        <w:t xml:space="preserve"> Annual General Mandate 2024</w:t>
      </w:r>
    </w:p>
    <w:p w14:paraId="4F4BBC2E" w14:textId="490A0C46" w:rsidR="00CE44A3" w:rsidRPr="00574F57" w:rsidRDefault="00574F57" w:rsidP="00B20483">
      <w:pPr>
        <w:keepNext/>
        <w:pBdr>
          <w:top w:val="nil"/>
          <w:left w:val="nil"/>
          <w:bottom w:val="nil"/>
          <w:right w:val="nil"/>
          <w:between w:val="nil"/>
        </w:pBdr>
        <w:tabs>
          <w:tab w:val="left" w:pos="567"/>
          <w:tab w:val="left" w:pos="660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On April 22, 2024,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 announced General Mandate No. 01/2024/NQ-DHDCD as follows: </w:t>
      </w:r>
    </w:p>
    <w:p w14:paraId="277EFF9D"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1: Approve the Report on the activities of the Board of Directors.</w:t>
      </w:r>
    </w:p>
    <w:p w14:paraId="4E20E7C7"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2: Approve the Report on the activities of the Supervisory Board.</w:t>
      </w:r>
    </w:p>
    <w:p w14:paraId="5F688A8B"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3: Approve the Financial Statements 2023.</w:t>
      </w:r>
    </w:p>
    <w:p w14:paraId="4897DAC0"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4: Approve the production and business results and the profit distribution plan 2023</w:t>
      </w:r>
    </w:p>
    <w:p w14:paraId="04AFD2F1" w14:textId="77777777" w:rsidR="00CE44A3" w:rsidRPr="00574F57" w:rsidRDefault="00574F57" w:rsidP="00B20483">
      <w:pPr>
        <w:numPr>
          <w:ilvl w:val="0"/>
          <w:numId w:val="4"/>
        </w:numPr>
        <w:pBdr>
          <w:top w:val="nil"/>
          <w:left w:val="nil"/>
          <w:bottom w:val="nil"/>
          <w:right w:val="nil"/>
          <w:between w:val="nil"/>
        </w:pBdr>
        <w:tabs>
          <w:tab w:val="left" w:pos="567"/>
        </w:tabs>
        <w:spacing w:after="120" w:line="360" w:lineRule="auto"/>
        <w:ind w:left="142" w:hanging="142"/>
        <w:jc w:val="both"/>
        <w:rPr>
          <w:rFonts w:ascii="Arial" w:eastAsia="Arial" w:hAnsi="Arial" w:cs="Arial"/>
          <w:color w:val="010000"/>
          <w:sz w:val="20"/>
          <w:szCs w:val="20"/>
        </w:rPr>
        <w:sectPr w:rsidR="00CE44A3" w:rsidRPr="00574F57">
          <w:pgSz w:w="11907" w:h="16839"/>
          <w:pgMar w:top="1440" w:right="1440" w:bottom="1440" w:left="1440" w:header="0" w:footer="3" w:gutter="0"/>
          <w:pgNumType w:start="1"/>
          <w:cols w:space="720"/>
        </w:sectPr>
      </w:pPr>
      <w:r w:rsidRPr="00574F57">
        <w:rPr>
          <w:rFonts w:ascii="Arial" w:hAnsi="Arial" w:cs="Arial"/>
          <w:color w:val="010000"/>
          <w:sz w:val="20"/>
          <w:szCs w:val="20"/>
        </w:rPr>
        <w:t>Production and business results 2023:</w:t>
      </w:r>
    </w:p>
    <w:p w14:paraId="683C1D33" w14:textId="77777777" w:rsidR="00CE44A3" w:rsidRPr="00574F57" w:rsidRDefault="00CE44A3" w:rsidP="00574F57">
      <w:pPr>
        <w:pBdr>
          <w:top w:val="nil"/>
          <w:left w:val="nil"/>
          <w:bottom w:val="nil"/>
          <w:right w:val="nil"/>
          <w:between w:val="nil"/>
        </w:pBdr>
        <w:tabs>
          <w:tab w:val="left" w:pos="567"/>
        </w:tabs>
        <w:spacing w:line="276" w:lineRule="auto"/>
        <w:rPr>
          <w:rFonts w:ascii="Arial" w:eastAsia="Arial" w:hAnsi="Arial" w:cs="Arial"/>
          <w:color w:val="010000"/>
          <w:sz w:val="20"/>
          <w:szCs w:val="20"/>
        </w:rPr>
      </w:pPr>
    </w:p>
    <w:tbl>
      <w:tblPr>
        <w:tblStyle w:val="a"/>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1"/>
        <w:gridCol w:w="1464"/>
        <w:gridCol w:w="1394"/>
        <w:gridCol w:w="1398"/>
        <w:gridCol w:w="1360"/>
      </w:tblGrid>
      <w:tr w:rsidR="00CE44A3" w:rsidRPr="00574F57" w14:paraId="167C24C1" w14:textId="77777777">
        <w:tc>
          <w:tcPr>
            <w:tcW w:w="3401" w:type="dxa"/>
            <w:shd w:val="clear" w:color="auto" w:fill="auto"/>
            <w:tcMar>
              <w:top w:w="0" w:type="dxa"/>
              <w:bottom w:w="0" w:type="dxa"/>
            </w:tcMar>
            <w:vAlign w:val="center"/>
          </w:tcPr>
          <w:p w14:paraId="65390976"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Targets</w:t>
            </w:r>
          </w:p>
        </w:tc>
        <w:tc>
          <w:tcPr>
            <w:tcW w:w="1464" w:type="dxa"/>
            <w:shd w:val="clear" w:color="auto" w:fill="auto"/>
            <w:tcMar>
              <w:top w:w="0" w:type="dxa"/>
              <w:bottom w:w="0" w:type="dxa"/>
            </w:tcMar>
            <w:vAlign w:val="center"/>
          </w:tcPr>
          <w:p w14:paraId="582CEF33"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Unit</w:t>
            </w:r>
          </w:p>
        </w:tc>
        <w:tc>
          <w:tcPr>
            <w:tcW w:w="1394" w:type="dxa"/>
            <w:shd w:val="clear" w:color="auto" w:fill="auto"/>
            <w:tcMar>
              <w:top w:w="0" w:type="dxa"/>
              <w:bottom w:w="0" w:type="dxa"/>
            </w:tcMar>
            <w:vAlign w:val="center"/>
          </w:tcPr>
          <w:p w14:paraId="4EE1509E"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Results 2022</w:t>
            </w:r>
          </w:p>
        </w:tc>
        <w:tc>
          <w:tcPr>
            <w:tcW w:w="1398" w:type="dxa"/>
            <w:shd w:val="clear" w:color="auto" w:fill="auto"/>
            <w:tcMar>
              <w:top w:w="0" w:type="dxa"/>
              <w:bottom w:w="0" w:type="dxa"/>
            </w:tcMar>
            <w:vAlign w:val="center"/>
          </w:tcPr>
          <w:p w14:paraId="34DE961D"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Results 2023</w:t>
            </w:r>
          </w:p>
        </w:tc>
        <w:tc>
          <w:tcPr>
            <w:tcW w:w="1360" w:type="dxa"/>
            <w:shd w:val="clear" w:color="auto" w:fill="auto"/>
            <w:tcMar>
              <w:top w:w="0" w:type="dxa"/>
              <w:bottom w:w="0" w:type="dxa"/>
            </w:tcMar>
            <w:vAlign w:val="center"/>
          </w:tcPr>
          <w:p w14:paraId="5A31B2C5"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 Results</w:t>
            </w:r>
          </w:p>
          <w:p w14:paraId="3FA42069"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2023/2022</w:t>
            </w:r>
          </w:p>
        </w:tc>
      </w:tr>
      <w:tr w:rsidR="00CE44A3" w:rsidRPr="00574F57" w14:paraId="11186A55" w14:textId="77777777">
        <w:tc>
          <w:tcPr>
            <w:tcW w:w="3401" w:type="dxa"/>
            <w:shd w:val="clear" w:color="auto" w:fill="auto"/>
            <w:tcMar>
              <w:top w:w="0" w:type="dxa"/>
              <w:bottom w:w="0" w:type="dxa"/>
            </w:tcMar>
            <w:vAlign w:val="center"/>
          </w:tcPr>
          <w:p w14:paraId="339AB3F7" w14:textId="77777777" w:rsidR="00CE44A3" w:rsidRPr="00574F57" w:rsidRDefault="00574F57" w:rsidP="00574F57">
            <w:pPr>
              <w:pBdr>
                <w:top w:val="nil"/>
                <w:left w:val="nil"/>
                <w:bottom w:val="nil"/>
                <w:right w:val="nil"/>
                <w:between w:val="nil"/>
              </w:pBdr>
              <w:tabs>
                <w:tab w:val="left" w:pos="567"/>
              </w:tabs>
              <w:spacing w:after="120" w:line="360" w:lineRule="auto"/>
              <w:ind w:left="127"/>
              <w:rPr>
                <w:rFonts w:ascii="Arial" w:eastAsia="Arial" w:hAnsi="Arial" w:cs="Arial"/>
                <w:color w:val="010000"/>
                <w:sz w:val="20"/>
                <w:szCs w:val="20"/>
              </w:rPr>
            </w:pPr>
            <w:r w:rsidRPr="00574F57">
              <w:rPr>
                <w:rFonts w:ascii="Arial" w:hAnsi="Arial" w:cs="Arial"/>
                <w:color w:val="010000"/>
                <w:sz w:val="20"/>
                <w:szCs w:val="20"/>
              </w:rPr>
              <w:t>Charter capital:</w:t>
            </w:r>
          </w:p>
        </w:tc>
        <w:tc>
          <w:tcPr>
            <w:tcW w:w="1464" w:type="dxa"/>
            <w:shd w:val="clear" w:color="auto" w:fill="auto"/>
            <w:tcMar>
              <w:top w:w="0" w:type="dxa"/>
              <w:bottom w:w="0" w:type="dxa"/>
            </w:tcMar>
            <w:vAlign w:val="center"/>
          </w:tcPr>
          <w:p w14:paraId="50F6D8E1"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Billion VND</w:t>
            </w:r>
          </w:p>
        </w:tc>
        <w:tc>
          <w:tcPr>
            <w:tcW w:w="1394" w:type="dxa"/>
            <w:shd w:val="clear" w:color="auto" w:fill="auto"/>
            <w:tcMar>
              <w:top w:w="0" w:type="dxa"/>
              <w:bottom w:w="0" w:type="dxa"/>
            </w:tcMar>
            <w:vAlign w:val="center"/>
          </w:tcPr>
          <w:p w14:paraId="28EB1AE3"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40,000</w:t>
            </w:r>
          </w:p>
        </w:tc>
        <w:tc>
          <w:tcPr>
            <w:tcW w:w="1398" w:type="dxa"/>
            <w:shd w:val="clear" w:color="auto" w:fill="auto"/>
            <w:tcMar>
              <w:top w:w="0" w:type="dxa"/>
              <w:bottom w:w="0" w:type="dxa"/>
            </w:tcMar>
            <w:vAlign w:val="center"/>
          </w:tcPr>
          <w:p w14:paraId="5E734690"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40,000</w:t>
            </w:r>
          </w:p>
        </w:tc>
        <w:tc>
          <w:tcPr>
            <w:tcW w:w="1360" w:type="dxa"/>
            <w:shd w:val="clear" w:color="auto" w:fill="auto"/>
            <w:tcMar>
              <w:top w:w="0" w:type="dxa"/>
              <w:bottom w:w="0" w:type="dxa"/>
            </w:tcMar>
            <w:vAlign w:val="center"/>
          </w:tcPr>
          <w:p w14:paraId="0766E2D3"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100,00%</w:t>
            </w:r>
          </w:p>
        </w:tc>
      </w:tr>
      <w:tr w:rsidR="00CE44A3" w:rsidRPr="00574F57" w14:paraId="218FB40B" w14:textId="77777777">
        <w:tc>
          <w:tcPr>
            <w:tcW w:w="3401" w:type="dxa"/>
            <w:shd w:val="clear" w:color="auto" w:fill="auto"/>
            <w:tcMar>
              <w:top w:w="0" w:type="dxa"/>
              <w:bottom w:w="0" w:type="dxa"/>
            </w:tcMar>
            <w:vAlign w:val="center"/>
          </w:tcPr>
          <w:p w14:paraId="70B402C3" w14:textId="77777777" w:rsidR="00CE44A3" w:rsidRPr="00574F57" w:rsidRDefault="00574F57" w:rsidP="00574F57">
            <w:pPr>
              <w:pBdr>
                <w:top w:val="nil"/>
                <w:left w:val="nil"/>
                <w:bottom w:val="nil"/>
                <w:right w:val="nil"/>
                <w:between w:val="nil"/>
              </w:pBdr>
              <w:tabs>
                <w:tab w:val="left" w:pos="567"/>
              </w:tabs>
              <w:spacing w:after="120" w:line="360" w:lineRule="auto"/>
              <w:ind w:left="127"/>
              <w:rPr>
                <w:rFonts w:ascii="Arial" w:eastAsia="Arial" w:hAnsi="Arial" w:cs="Arial"/>
                <w:color w:val="010000"/>
                <w:sz w:val="20"/>
                <w:szCs w:val="20"/>
              </w:rPr>
            </w:pPr>
            <w:r w:rsidRPr="00574F57">
              <w:rPr>
                <w:rFonts w:ascii="Arial" w:hAnsi="Arial" w:cs="Arial"/>
                <w:color w:val="010000"/>
                <w:sz w:val="20"/>
                <w:szCs w:val="20"/>
              </w:rPr>
              <w:t>Net revenue</w:t>
            </w:r>
          </w:p>
        </w:tc>
        <w:tc>
          <w:tcPr>
            <w:tcW w:w="1464" w:type="dxa"/>
            <w:shd w:val="clear" w:color="auto" w:fill="auto"/>
            <w:tcMar>
              <w:top w:w="0" w:type="dxa"/>
              <w:bottom w:w="0" w:type="dxa"/>
            </w:tcMar>
            <w:vAlign w:val="center"/>
          </w:tcPr>
          <w:p w14:paraId="44DAE268"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Billion VND</w:t>
            </w:r>
          </w:p>
        </w:tc>
        <w:tc>
          <w:tcPr>
            <w:tcW w:w="1394" w:type="dxa"/>
            <w:shd w:val="clear" w:color="auto" w:fill="auto"/>
            <w:tcMar>
              <w:top w:w="0" w:type="dxa"/>
              <w:bottom w:w="0" w:type="dxa"/>
            </w:tcMar>
            <w:vAlign w:val="center"/>
          </w:tcPr>
          <w:p w14:paraId="1C2C9B75"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w:t>
            </w:r>
          </w:p>
        </w:tc>
        <w:tc>
          <w:tcPr>
            <w:tcW w:w="1398" w:type="dxa"/>
            <w:shd w:val="clear" w:color="auto" w:fill="auto"/>
            <w:tcMar>
              <w:top w:w="0" w:type="dxa"/>
              <w:bottom w:w="0" w:type="dxa"/>
            </w:tcMar>
            <w:vAlign w:val="center"/>
          </w:tcPr>
          <w:p w14:paraId="76548BA7" w14:textId="77777777" w:rsidR="00CE44A3" w:rsidRPr="00574F57" w:rsidRDefault="00CE44A3" w:rsidP="00574F57">
            <w:pPr>
              <w:tabs>
                <w:tab w:val="left" w:pos="567"/>
              </w:tabs>
              <w:spacing w:after="120" w:line="360" w:lineRule="auto"/>
              <w:ind w:right="18"/>
              <w:jc w:val="right"/>
              <w:rPr>
                <w:rFonts w:ascii="Arial" w:eastAsia="Arial" w:hAnsi="Arial" w:cs="Arial"/>
                <w:color w:val="010000"/>
                <w:sz w:val="20"/>
                <w:szCs w:val="20"/>
              </w:rPr>
            </w:pPr>
          </w:p>
        </w:tc>
        <w:tc>
          <w:tcPr>
            <w:tcW w:w="1360" w:type="dxa"/>
            <w:shd w:val="clear" w:color="auto" w:fill="auto"/>
            <w:tcMar>
              <w:top w:w="0" w:type="dxa"/>
              <w:bottom w:w="0" w:type="dxa"/>
            </w:tcMar>
            <w:vAlign w:val="center"/>
          </w:tcPr>
          <w:p w14:paraId="247E6FB2"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w:t>
            </w:r>
          </w:p>
        </w:tc>
      </w:tr>
      <w:tr w:rsidR="00CE44A3" w:rsidRPr="00574F57" w14:paraId="3B15C8C4" w14:textId="77777777">
        <w:tc>
          <w:tcPr>
            <w:tcW w:w="3401" w:type="dxa"/>
            <w:shd w:val="clear" w:color="auto" w:fill="auto"/>
            <w:tcMar>
              <w:top w:w="0" w:type="dxa"/>
              <w:bottom w:w="0" w:type="dxa"/>
            </w:tcMar>
            <w:vAlign w:val="center"/>
          </w:tcPr>
          <w:p w14:paraId="20FABC33" w14:textId="77777777" w:rsidR="00CE44A3" w:rsidRPr="00574F57" w:rsidRDefault="00574F57" w:rsidP="00574F57">
            <w:pPr>
              <w:pBdr>
                <w:top w:val="nil"/>
                <w:left w:val="nil"/>
                <w:bottom w:val="nil"/>
                <w:right w:val="nil"/>
                <w:between w:val="nil"/>
              </w:pBdr>
              <w:tabs>
                <w:tab w:val="left" w:pos="567"/>
              </w:tabs>
              <w:spacing w:after="120" w:line="360" w:lineRule="auto"/>
              <w:ind w:left="127"/>
              <w:rPr>
                <w:rFonts w:ascii="Arial" w:eastAsia="Arial" w:hAnsi="Arial" w:cs="Arial"/>
                <w:color w:val="010000"/>
                <w:sz w:val="20"/>
                <w:szCs w:val="20"/>
              </w:rPr>
            </w:pPr>
            <w:r w:rsidRPr="00574F57">
              <w:rPr>
                <w:rFonts w:ascii="Arial" w:hAnsi="Arial" w:cs="Arial"/>
                <w:color w:val="010000"/>
                <w:sz w:val="20"/>
                <w:szCs w:val="20"/>
              </w:rPr>
              <w:t>Profit after tax</w:t>
            </w:r>
          </w:p>
        </w:tc>
        <w:tc>
          <w:tcPr>
            <w:tcW w:w="1464" w:type="dxa"/>
            <w:shd w:val="clear" w:color="auto" w:fill="auto"/>
            <w:tcMar>
              <w:top w:w="0" w:type="dxa"/>
              <w:bottom w:w="0" w:type="dxa"/>
            </w:tcMar>
            <w:vAlign w:val="center"/>
          </w:tcPr>
          <w:p w14:paraId="4E12BED4"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Billion VND</w:t>
            </w:r>
          </w:p>
        </w:tc>
        <w:tc>
          <w:tcPr>
            <w:tcW w:w="1394" w:type="dxa"/>
            <w:shd w:val="clear" w:color="auto" w:fill="auto"/>
            <w:tcMar>
              <w:top w:w="0" w:type="dxa"/>
              <w:bottom w:w="0" w:type="dxa"/>
            </w:tcMar>
            <w:vAlign w:val="center"/>
          </w:tcPr>
          <w:p w14:paraId="402F9DBD"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-7,111</w:t>
            </w:r>
          </w:p>
        </w:tc>
        <w:tc>
          <w:tcPr>
            <w:tcW w:w="1398" w:type="dxa"/>
            <w:shd w:val="clear" w:color="auto" w:fill="auto"/>
            <w:tcMar>
              <w:top w:w="0" w:type="dxa"/>
              <w:bottom w:w="0" w:type="dxa"/>
            </w:tcMar>
            <w:vAlign w:val="center"/>
          </w:tcPr>
          <w:p w14:paraId="7DC32383"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- 7,097</w:t>
            </w:r>
          </w:p>
        </w:tc>
        <w:tc>
          <w:tcPr>
            <w:tcW w:w="1360" w:type="dxa"/>
            <w:shd w:val="clear" w:color="auto" w:fill="auto"/>
            <w:tcMar>
              <w:top w:w="0" w:type="dxa"/>
              <w:bottom w:w="0" w:type="dxa"/>
            </w:tcMar>
            <w:vAlign w:val="center"/>
          </w:tcPr>
          <w:p w14:paraId="42366036"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w:t>
            </w:r>
          </w:p>
        </w:tc>
      </w:tr>
      <w:tr w:rsidR="00CE44A3" w:rsidRPr="00574F57" w14:paraId="73857AC0" w14:textId="77777777">
        <w:tc>
          <w:tcPr>
            <w:tcW w:w="3401" w:type="dxa"/>
            <w:shd w:val="clear" w:color="auto" w:fill="auto"/>
            <w:tcMar>
              <w:top w:w="0" w:type="dxa"/>
              <w:bottom w:w="0" w:type="dxa"/>
            </w:tcMar>
            <w:vAlign w:val="center"/>
          </w:tcPr>
          <w:p w14:paraId="4DC3D62D" w14:textId="77777777" w:rsidR="00CE44A3" w:rsidRPr="00574F57" w:rsidRDefault="00574F57" w:rsidP="00574F57">
            <w:pPr>
              <w:pBdr>
                <w:top w:val="nil"/>
                <w:left w:val="nil"/>
                <w:bottom w:val="nil"/>
                <w:right w:val="nil"/>
                <w:between w:val="nil"/>
              </w:pBdr>
              <w:tabs>
                <w:tab w:val="left" w:pos="567"/>
              </w:tabs>
              <w:spacing w:after="120" w:line="360" w:lineRule="auto"/>
              <w:ind w:left="127"/>
              <w:rPr>
                <w:rFonts w:ascii="Arial" w:eastAsia="Arial" w:hAnsi="Arial" w:cs="Arial"/>
                <w:color w:val="010000"/>
                <w:sz w:val="20"/>
                <w:szCs w:val="20"/>
              </w:rPr>
            </w:pPr>
            <w:r w:rsidRPr="00574F57">
              <w:rPr>
                <w:rFonts w:ascii="Arial" w:hAnsi="Arial" w:cs="Arial"/>
                <w:color w:val="010000"/>
                <w:sz w:val="20"/>
                <w:szCs w:val="20"/>
              </w:rPr>
              <w:t>Average labor</w:t>
            </w:r>
          </w:p>
        </w:tc>
        <w:tc>
          <w:tcPr>
            <w:tcW w:w="1464" w:type="dxa"/>
            <w:shd w:val="clear" w:color="auto" w:fill="auto"/>
            <w:tcMar>
              <w:top w:w="0" w:type="dxa"/>
              <w:bottom w:w="0" w:type="dxa"/>
            </w:tcMar>
            <w:vAlign w:val="center"/>
          </w:tcPr>
          <w:p w14:paraId="6CFC676B"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Person</w:t>
            </w:r>
          </w:p>
        </w:tc>
        <w:tc>
          <w:tcPr>
            <w:tcW w:w="1394" w:type="dxa"/>
            <w:shd w:val="clear" w:color="auto" w:fill="auto"/>
            <w:tcMar>
              <w:top w:w="0" w:type="dxa"/>
              <w:bottom w:w="0" w:type="dxa"/>
            </w:tcMar>
            <w:vAlign w:val="center"/>
          </w:tcPr>
          <w:p w14:paraId="2A18635E"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10</w:t>
            </w:r>
          </w:p>
        </w:tc>
        <w:tc>
          <w:tcPr>
            <w:tcW w:w="1398" w:type="dxa"/>
            <w:shd w:val="clear" w:color="auto" w:fill="auto"/>
            <w:tcMar>
              <w:top w:w="0" w:type="dxa"/>
              <w:bottom w:w="0" w:type="dxa"/>
            </w:tcMar>
            <w:vAlign w:val="center"/>
          </w:tcPr>
          <w:p w14:paraId="04A8CB6B"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10</w:t>
            </w:r>
          </w:p>
        </w:tc>
        <w:tc>
          <w:tcPr>
            <w:tcW w:w="1360" w:type="dxa"/>
            <w:shd w:val="clear" w:color="auto" w:fill="auto"/>
            <w:tcMar>
              <w:top w:w="0" w:type="dxa"/>
              <w:bottom w:w="0" w:type="dxa"/>
            </w:tcMar>
            <w:vAlign w:val="center"/>
          </w:tcPr>
          <w:p w14:paraId="5A90792C"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w:t>
            </w:r>
          </w:p>
        </w:tc>
      </w:tr>
      <w:tr w:rsidR="00CE44A3" w:rsidRPr="00574F57" w14:paraId="2720FFB8" w14:textId="77777777">
        <w:tc>
          <w:tcPr>
            <w:tcW w:w="3401" w:type="dxa"/>
            <w:shd w:val="clear" w:color="auto" w:fill="auto"/>
            <w:tcMar>
              <w:top w:w="0" w:type="dxa"/>
              <w:bottom w:w="0" w:type="dxa"/>
            </w:tcMar>
            <w:vAlign w:val="center"/>
          </w:tcPr>
          <w:p w14:paraId="62C31BEC" w14:textId="77777777" w:rsidR="00CE44A3" w:rsidRPr="00574F57" w:rsidRDefault="00574F57" w:rsidP="00574F57">
            <w:pPr>
              <w:pBdr>
                <w:top w:val="nil"/>
                <w:left w:val="nil"/>
                <w:bottom w:val="nil"/>
                <w:right w:val="nil"/>
                <w:between w:val="nil"/>
              </w:pBdr>
              <w:tabs>
                <w:tab w:val="left" w:pos="567"/>
              </w:tabs>
              <w:spacing w:after="120" w:line="360" w:lineRule="auto"/>
              <w:ind w:left="127"/>
              <w:rPr>
                <w:rFonts w:ascii="Arial" w:eastAsia="Arial" w:hAnsi="Arial" w:cs="Arial"/>
                <w:color w:val="010000"/>
                <w:sz w:val="20"/>
                <w:szCs w:val="20"/>
              </w:rPr>
            </w:pPr>
            <w:r w:rsidRPr="00574F57">
              <w:rPr>
                <w:rFonts w:ascii="Arial" w:hAnsi="Arial" w:cs="Arial"/>
                <w:color w:val="010000"/>
                <w:sz w:val="20"/>
                <w:szCs w:val="20"/>
              </w:rPr>
              <w:t>Dividend rate</w:t>
            </w:r>
          </w:p>
        </w:tc>
        <w:tc>
          <w:tcPr>
            <w:tcW w:w="1464" w:type="dxa"/>
            <w:shd w:val="clear" w:color="auto" w:fill="auto"/>
            <w:tcMar>
              <w:top w:w="0" w:type="dxa"/>
              <w:bottom w:w="0" w:type="dxa"/>
            </w:tcMar>
            <w:vAlign w:val="center"/>
          </w:tcPr>
          <w:p w14:paraId="72131675"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w:t>
            </w:r>
          </w:p>
        </w:tc>
        <w:tc>
          <w:tcPr>
            <w:tcW w:w="1394" w:type="dxa"/>
            <w:shd w:val="clear" w:color="auto" w:fill="auto"/>
            <w:tcMar>
              <w:top w:w="0" w:type="dxa"/>
              <w:bottom w:w="0" w:type="dxa"/>
            </w:tcMar>
            <w:vAlign w:val="center"/>
          </w:tcPr>
          <w:p w14:paraId="61516BA8"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w:t>
            </w:r>
          </w:p>
        </w:tc>
        <w:tc>
          <w:tcPr>
            <w:tcW w:w="1398" w:type="dxa"/>
            <w:shd w:val="clear" w:color="auto" w:fill="auto"/>
            <w:tcMar>
              <w:top w:w="0" w:type="dxa"/>
              <w:bottom w:w="0" w:type="dxa"/>
            </w:tcMar>
            <w:vAlign w:val="center"/>
          </w:tcPr>
          <w:p w14:paraId="0B9BEE44" w14:textId="77777777" w:rsidR="00CE44A3" w:rsidRPr="00574F57" w:rsidRDefault="00574F57" w:rsidP="00574F57">
            <w:pPr>
              <w:pBdr>
                <w:top w:val="nil"/>
                <w:left w:val="nil"/>
                <w:bottom w:val="nil"/>
                <w:right w:val="nil"/>
                <w:between w:val="nil"/>
              </w:pBdr>
              <w:tabs>
                <w:tab w:val="left" w:pos="567"/>
              </w:tabs>
              <w:spacing w:after="120" w:line="360" w:lineRule="auto"/>
              <w:ind w:right="18"/>
              <w:jc w:val="right"/>
              <w:rPr>
                <w:rFonts w:ascii="Arial" w:eastAsia="Arial" w:hAnsi="Arial" w:cs="Arial"/>
                <w:color w:val="010000"/>
                <w:sz w:val="20"/>
                <w:szCs w:val="20"/>
              </w:rPr>
            </w:pPr>
            <w:r w:rsidRPr="00574F57">
              <w:rPr>
                <w:rFonts w:ascii="Arial" w:hAnsi="Arial" w:cs="Arial"/>
                <w:color w:val="010000"/>
                <w:sz w:val="20"/>
                <w:szCs w:val="20"/>
              </w:rPr>
              <w:t>-</w:t>
            </w:r>
          </w:p>
        </w:tc>
        <w:tc>
          <w:tcPr>
            <w:tcW w:w="1360" w:type="dxa"/>
            <w:shd w:val="clear" w:color="auto" w:fill="auto"/>
            <w:tcMar>
              <w:top w:w="0" w:type="dxa"/>
              <w:bottom w:w="0" w:type="dxa"/>
            </w:tcMar>
            <w:vAlign w:val="center"/>
          </w:tcPr>
          <w:p w14:paraId="78105F32" w14:textId="77777777" w:rsidR="00CE44A3" w:rsidRPr="00574F57" w:rsidRDefault="00CE44A3" w:rsidP="00574F57">
            <w:pPr>
              <w:tabs>
                <w:tab w:val="left" w:pos="567"/>
              </w:tabs>
              <w:spacing w:after="120" w:line="360" w:lineRule="auto"/>
              <w:ind w:right="18"/>
              <w:jc w:val="right"/>
              <w:rPr>
                <w:rFonts w:ascii="Arial" w:eastAsia="Arial" w:hAnsi="Arial" w:cs="Arial"/>
                <w:color w:val="010000"/>
                <w:sz w:val="20"/>
                <w:szCs w:val="20"/>
              </w:rPr>
            </w:pPr>
          </w:p>
        </w:tc>
      </w:tr>
    </w:tbl>
    <w:p w14:paraId="37FF07BE" w14:textId="77777777" w:rsidR="00CE44A3" w:rsidRPr="00574F57" w:rsidRDefault="00574F57" w:rsidP="00B20483">
      <w:pPr>
        <w:numPr>
          <w:ilvl w:val="0"/>
          <w:numId w:val="4"/>
        </w:numPr>
        <w:pBdr>
          <w:top w:val="nil"/>
          <w:left w:val="nil"/>
          <w:bottom w:val="nil"/>
          <w:right w:val="nil"/>
          <w:between w:val="nil"/>
        </w:pBdr>
        <w:tabs>
          <w:tab w:val="left" w:pos="567"/>
        </w:tabs>
        <w:spacing w:after="120" w:line="360" w:lineRule="auto"/>
        <w:ind w:left="142" w:hanging="142"/>
        <w:jc w:val="both"/>
        <w:rPr>
          <w:rFonts w:ascii="Arial" w:eastAsia="Arial" w:hAnsi="Arial" w:cs="Arial"/>
          <w:color w:val="010000"/>
          <w:sz w:val="20"/>
          <w:szCs w:val="20"/>
        </w:rPr>
      </w:pPr>
      <w:r w:rsidRPr="00574F57">
        <w:rPr>
          <w:rFonts w:ascii="Arial" w:hAnsi="Arial" w:cs="Arial"/>
          <w:color w:val="010000"/>
          <w:sz w:val="20"/>
          <w:szCs w:val="20"/>
        </w:rPr>
        <w:t>Plan on profit distribution and appropriation for funds 2023.</w:t>
      </w:r>
    </w:p>
    <w:p w14:paraId="4DD8CBF4"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Based on the above production and business results,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JSC’s Board of Directors respectfully submits to the General Meeting of Shareholders not to appropriate funds and not pay dividends in 2023. </w:t>
      </w:r>
    </w:p>
    <w:p w14:paraId="111537DE"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5: Approve the production and business plan for 2024</w:t>
      </w:r>
    </w:p>
    <w:p w14:paraId="760D0C86"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6: Approve the remuneration for the Board of Directors, the Supervisory Board in 2023 and the plan for 2024.</w:t>
      </w:r>
    </w:p>
    <w:p w14:paraId="6DA65874"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7: Approve the selection of an audit company for the Financial Statements 2024.</w:t>
      </w:r>
    </w:p>
    <w:p w14:paraId="219C4A03" w14:textId="77777777" w:rsidR="00CE44A3" w:rsidRPr="00574F57" w:rsidRDefault="00574F57" w:rsidP="00B20483">
      <w:pPr>
        <w:keepNext/>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Article 8: Approve continuing to implement the private placement Plan to swap debt into contributed capital.</w:t>
      </w:r>
    </w:p>
    <w:p w14:paraId="03D00FEA" w14:textId="3A5DC925"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The Board of Directors respectfully submits to the General Meeting 2024 to approve the private placement plan to swap debt with the following details:</w:t>
      </w:r>
    </w:p>
    <w:p w14:paraId="5FFF27AC"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Share name: Shares of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w:t>
      </w:r>
    </w:p>
    <w:p w14:paraId="5AA1DD01"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Share type: common share</w:t>
      </w:r>
    </w:p>
    <w:p w14:paraId="0EA8624E"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Securities code:  L44</w:t>
      </w:r>
    </w:p>
    <w:p w14:paraId="6CD0163C"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Par value: VND 10,000/share</w:t>
      </w:r>
    </w:p>
    <w:p w14:paraId="05F1FC14"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Current charter capital: VND 40,000,000,000</w:t>
      </w:r>
    </w:p>
    <w:p w14:paraId="2F603D8B"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lastRenderedPageBreak/>
        <w:t>Number of issued shares: 4,000,000 shares</w:t>
      </w:r>
    </w:p>
    <w:p w14:paraId="1A25D2C4" w14:textId="77777777" w:rsidR="00CE44A3" w:rsidRPr="00574F57" w:rsidRDefault="00574F57" w:rsidP="00B20483">
      <w:p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In which:</w:t>
      </w:r>
    </w:p>
    <w:p w14:paraId="381377CE" w14:textId="77777777" w:rsidR="00CE44A3" w:rsidRPr="00574F57" w:rsidRDefault="00574F57" w:rsidP="00B20483">
      <w:pPr>
        <w:numPr>
          <w:ilvl w:val="0"/>
          <w:numId w:val="1"/>
        </w:numPr>
        <w:pBdr>
          <w:top w:val="nil"/>
          <w:left w:val="nil"/>
          <w:bottom w:val="nil"/>
          <w:right w:val="nil"/>
          <w:between w:val="nil"/>
        </w:pBdr>
        <w:tabs>
          <w:tab w:val="left" w:pos="426"/>
          <w:tab w:val="left" w:pos="567"/>
          <w:tab w:val="left" w:pos="253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Number of outstanding shares: 3,980,000 shares</w:t>
      </w:r>
    </w:p>
    <w:p w14:paraId="5DE7E211" w14:textId="77777777" w:rsidR="00CE44A3" w:rsidRPr="00574F57" w:rsidRDefault="00574F57" w:rsidP="00B20483">
      <w:pPr>
        <w:numPr>
          <w:ilvl w:val="0"/>
          <w:numId w:val="1"/>
        </w:numPr>
        <w:pBdr>
          <w:top w:val="nil"/>
          <w:left w:val="nil"/>
          <w:bottom w:val="nil"/>
          <w:right w:val="nil"/>
          <w:between w:val="nil"/>
        </w:pBdr>
        <w:tabs>
          <w:tab w:val="left" w:pos="426"/>
          <w:tab w:val="left" w:pos="567"/>
          <w:tab w:val="left" w:pos="253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Number of treasury shares: 20,000 shares</w:t>
      </w:r>
    </w:p>
    <w:p w14:paraId="23D883EA"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Number of shares expected to be offered: 2,200,000 shares</w:t>
      </w:r>
    </w:p>
    <w:p w14:paraId="44496466"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10784"/>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Total value of offered shares based on the par value: VND 22,000,000,000.</w:t>
      </w:r>
    </w:p>
    <w:p w14:paraId="4E9D8654" w14:textId="77777777" w:rsidR="00CE44A3" w:rsidRPr="00574F57" w:rsidRDefault="00574F57" w:rsidP="00B20483">
      <w:pPr>
        <w:numPr>
          <w:ilvl w:val="0"/>
          <w:numId w:val="2"/>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Expected increase in charter capital</w:t>
      </w:r>
    </w:p>
    <w:p w14:paraId="0C37263A" w14:textId="77777777" w:rsidR="00CE44A3" w:rsidRPr="00574F57" w:rsidRDefault="00574F57" w:rsidP="00B20483">
      <w:pPr>
        <w:numPr>
          <w:ilvl w:val="0"/>
          <w:numId w:val="1"/>
        </w:numPr>
        <w:pBdr>
          <w:top w:val="nil"/>
          <w:left w:val="nil"/>
          <w:bottom w:val="nil"/>
          <w:right w:val="nil"/>
          <w:between w:val="nil"/>
        </w:pBdr>
        <w:tabs>
          <w:tab w:val="left" w:pos="426"/>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Charter capital before issuance: VND 40,000,000,000</w:t>
      </w:r>
    </w:p>
    <w:p w14:paraId="3AC22D27" w14:textId="77777777" w:rsidR="00CE44A3" w:rsidRPr="00574F57" w:rsidRDefault="00574F57" w:rsidP="00B20483">
      <w:pPr>
        <w:numPr>
          <w:ilvl w:val="0"/>
          <w:numId w:val="1"/>
        </w:numPr>
        <w:pBdr>
          <w:top w:val="nil"/>
          <w:left w:val="nil"/>
          <w:bottom w:val="nil"/>
          <w:right w:val="nil"/>
          <w:between w:val="nil"/>
        </w:pBdr>
        <w:tabs>
          <w:tab w:val="left" w:pos="426"/>
          <w:tab w:val="left" w:pos="567"/>
          <w:tab w:val="left" w:pos="253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Expected increase in charter capital: VND 22,000,000,000</w:t>
      </w:r>
    </w:p>
    <w:p w14:paraId="464AFFD8" w14:textId="77777777" w:rsidR="00CE44A3" w:rsidRPr="00574F57" w:rsidRDefault="00574F57" w:rsidP="00B20483">
      <w:pPr>
        <w:numPr>
          <w:ilvl w:val="0"/>
          <w:numId w:val="1"/>
        </w:numPr>
        <w:pBdr>
          <w:top w:val="nil"/>
          <w:left w:val="nil"/>
          <w:bottom w:val="nil"/>
          <w:right w:val="nil"/>
          <w:between w:val="nil"/>
        </w:pBdr>
        <w:tabs>
          <w:tab w:val="left" w:pos="426"/>
          <w:tab w:val="left" w:pos="567"/>
          <w:tab w:val="left" w:pos="253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Charter capital after issuance: VND 62,000,000,000</w:t>
      </w:r>
    </w:p>
    <w:p w14:paraId="4645D0AB"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Private placement for debt swap:</w:t>
      </w:r>
    </w:p>
    <w:p w14:paraId="7F6309BB"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The private placement to swap part of the debt with Vietnam Debt Trading Company Limited (DATC) is in accordance with the policy of restructuring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 in order to restructure debts, contributing to improving the financial situation and operations of the Company. The exchange of part of the debt with DATC into contributed capital helps reduce interest expense and increase charter capital to restructure finances to improve business operations.</w:t>
      </w:r>
    </w:p>
    <w:p w14:paraId="1579546E"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Offering method: Private placement for debt swap:</w:t>
      </w:r>
    </w:p>
    <w:p w14:paraId="6AA8BF6C"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Method for determination and swap rate: In accordance with the document of determination of the independent valuation organization.  </w:t>
      </w:r>
    </w:p>
    <w:p w14:paraId="66C48CAA"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Swap rate: 1: 10,000 (That means: 1 share will be exchanged for VND 10,000 of debt)</w:t>
      </w:r>
    </w:p>
    <w:p w14:paraId="1D554E52"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For example: If the Company borrows from the investor (means the creditor) an amount of VND 100,000,000, with a swap rate of 1:10,000, after performing the swap, the investor will receive: (100,000,000 X 1)/10,000 = 10,000 shares.</w:t>
      </w:r>
    </w:p>
    <w:p w14:paraId="6CAA5D3A"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Thus, after the swap, the investor (means the creditor) will become a shareholder and receive 10,000 shares with a par value of VND 10,000/share.</w:t>
      </w:r>
    </w:p>
    <w:p w14:paraId="5EC7782C"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Debt value for swap: VND 22,000,000,000</w:t>
      </w:r>
    </w:p>
    <w:p w14:paraId="255A24CD"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Plan for rounding and dealing with arising odd shares (if any)</w:t>
      </w:r>
    </w:p>
    <w:p w14:paraId="0E4286C5" w14:textId="77777777" w:rsidR="00CE44A3" w:rsidRPr="00574F57" w:rsidRDefault="00574F57" w:rsidP="00B20483">
      <w:p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When the debt is swapped into shares, the swap shares will be rounded down to units, the fractional part will be automatically removed.</w:t>
      </w:r>
    </w:p>
    <w:p w14:paraId="2938F32F"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Eligible buyers:</w:t>
      </w:r>
    </w:p>
    <w:p w14:paraId="08D60DB9"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Based on the debt between the Company and its creditors as of December 31, 2023 (according to the Financial Statement 2023) and the debt as of December 31, 2023,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 conducts a private placement to swap part of the debt with Vietnam Debt Trading Company Limited (DATC) as follows:</w:t>
      </w:r>
    </w:p>
    <w:tbl>
      <w:tblPr>
        <w:tblStyle w:val="a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
        <w:gridCol w:w="1209"/>
        <w:gridCol w:w="1544"/>
        <w:gridCol w:w="1544"/>
        <w:gridCol w:w="1522"/>
        <w:gridCol w:w="1450"/>
        <w:gridCol w:w="1165"/>
      </w:tblGrid>
      <w:tr w:rsidR="00CE44A3" w:rsidRPr="00574F57" w14:paraId="71E90593" w14:textId="77777777">
        <w:tc>
          <w:tcPr>
            <w:tcW w:w="583" w:type="dxa"/>
            <w:shd w:val="clear" w:color="auto" w:fill="auto"/>
            <w:tcMar>
              <w:top w:w="0" w:type="dxa"/>
              <w:bottom w:w="0" w:type="dxa"/>
            </w:tcMar>
            <w:vAlign w:val="center"/>
          </w:tcPr>
          <w:p w14:paraId="16D915CD"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lastRenderedPageBreak/>
              <w:t>No.</w:t>
            </w:r>
          </w:p>
        </w:tc>
        <w:tc>
          <w:tcPr>
            <w:tcW w:w="1209" w:type="dxa"/>
            <w:shd w:val="clear" w:color="auto" w:fill="auto"/>
            <w:tcMar>
              <w:top w:w="0" w:type="dxa"/>
              <w:bottom w:w="0" w:type="dxa"/>
            </w:tcMar>
            <w:vAlign w:val="center"/>
          </w:tcPr>
          <w:p w14:paraId="212617AA"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Investors</w:t>
            </w:r>
          </w:p>
        </w:tc>
        <w:tc>
          <w:tcPr>
            <w:tcW w:w="1544" w:type="dxa"/>
            <w:shd w:val="clear" w:color="auto" w:fill="auto"/>
            <w:tcMar>
              <w:top w:w="0" w:type="dxa"/>
              <w:bottom w:w="0" w:type="dxa"/>
            </w:tcMar>
            <w:vAlign w:val="center"/>
          </w:tcPr>
          <w:p w14:paraId="4D66A575"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Principal balance on December 31, 2022</w:t>
            </w:r>
          </w:p>
          <w:p w14:paraId="75E64507"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(VND)</w:t>
            </w:r>
          </w:p>
        </w:tc>
        <w:tc>
          <w:tcPr>
            <w:tcW w:w="1544" w:type="dxa"/>
            <w:shd w:val="clear" w:color="auto" w:fill="auto"/>
            <w:tcMar>
              <w:top w:w="0" w:type="dxa"/>
              <w:bottom w:w="0" w:type="dxa"/>
            </w:tcMar>
            <w:vAlign w:val="center"/>
          </w:tcPr>
          <w:p w14:paraId="1DF32158"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Principal balance on March 31, 2023*</w:t>
            </w:r>
          </w:p>
          <w:p w14:paraId="1352F3EE"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(VND)</w:t>
            </w:r>
          </w:p>
        </w:tc>
        <w:tc>
          <w:tcPr>
            <w:tcW w:w="1522" w:type="dxa"/>
            <w:shd w:val="clear" w:color="auto" w:fill="auto"/>
            <w:tcMar>
              <w:top w:w="0" w:type="dxa"/>
              <w:bottom w:w="0" w:type="dxa"/>
            </w:tcMar>
            <w:vAlign w:val="center"/>
          </w:tcPr>
          <w:p w14:paraId="7064A575"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Value of swapped debt (VND)</w:t>
            </w:r>
          </w:p>
        </w:tc>
        <w:tc>
          <w:tcPr>
            <w:tcW w:w="1450" w:type="dxa"/>
            <w:shd w:val="clear" w:color="auto" w:fill="auto"/>
            <w:tcMar>
              <w:top w:w="0" w:type="dxa"/>
              <w:bottom w:w="0" w:type="dxa"/>
            </w:tcMar>
            <w:vAlign w:val="center"/>
          </w:tcPr>
          <w:p w14:paraId="602C7BF4"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Number of shares expected to be offered according to swap rate (share)</w:t>
            </w:r>
          </w:p>
        </w:tc>
        <w:tc>
          <w:tcPr>
            <w:tcW w:w="1165" w:type="dxa"/>
            <w:shd w:val="clear" w:color="auto" w:fill="auto"/>
            <w:tcMar>
              <w:top w:w="0" w:type="dxa"/>
              <w:bottom w:w="0" w:type="dxa"/>
            </w:tcMar>
            <w:vAlign w:val="center"/>
          </w:tcPr>
          <w:p w14:paraId="259C229F"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Amount at par value (VND)</w:t>
            </w:r>
          </w:p>
        </w:tc>
      </w:tr>
      <w:tr w:rsidR="00CE44A3" w:rsidRPr="00574F57" w14:paraId="63D4FFE3" w14:textId="77777777">
        <w:tc>
          <w:tcPr>
            <w:tcW w:w="583" w:type="dxa"/>
            <w:shd w:val="clear" w:color="auto" w:fill="auto"/>
            <w:tcMar>
              <w:top w:w="0" w:type="dxa"/>
              <w:bottom w:w="0" w:type="dxa"/>
            </w:tcMar>
            <w:vAlign w:val="center"/>
          </w:tcPr>
          <w:p w14:paraId="1387D41D"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1</w:t>
            </w:r>
          </w:p>
        </w:tc>
        <w:tc>
          <w:tcPr>
            <w:tcW w:w="1209" w:type="dxa"/>
            <w:shd w:val="clear" w:color="auto" w:fill="auto"/>
            <w:tcMar>
              <w:top w:w="0" w:type="dxa"/>
              <w:bottom w:w="0" w:type="dxa"/>
            </w:tcMar>
            <w:vAlign w:val="center"/>
          </w:tcPr>
          <w:p w14:paraId="5CE10BD0"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Vietnam Debt Trading Company Limited (DATC)</w:t>
            </w:r>
          </w:p>
        </w:tc>
        <w:tc>
          <w:tcPr>
            <w:tcW w:w="1544" w:type="dxa"/>
            <w:shd w:val="clear" w:color="auto" w:fill="auto"/>
            <w:tcMar>
              <w:top w:w="0" w:type="dxa"/>
              <w:bottom w:w="0" w:type="dxa"/>
            </w:tcMar>
            <w:vAlign w:val="center"/>
          </w:tcPr>
          <w:p w14:paraId="408F1C01"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81,892,927,404</w:t>
            </w:r>
          </w:p>
        </w:tc>
        <w:tc>
          <w:tcPr>
            <w:tcW w:w="1544" w:type="dxa"/>
            <w:shd w:val="clear" w:color="auto" w:fill="auto"/>
            <w:tcMar>
              <w:top w:w="0" w:type="dxa"/>
              <w:bottom w:w="0" w:type="dxa"/>
            </w:tcMar>
            <w:vAlign w:val="center"/>
          </w:tcPr>
          <w:p w14:paraId="4D322C5A" w14:textId="3E99277D"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81,892,927,404</w:t>
            </w:r>
          </w:p>
        </w:tc>
        <w:tc>
          <w:tcPr>
            <w:tcW w:w="1522" w:type="dxa"/>
            <w:shd w:val="clear" w:color="auto" w:fill="auto"/>
            <w:tcMar>
              <w:top w:w="0" w:type="dxa"/>
              <w:bottom w:w="0" w:type="dxa"/>
            </w:tcMar>
            <w:vAlign w:val="center"/>
          </w:tcPr>
          <w:p w14:paraId="18DC584E"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22,000,000,000</w:t>
            </w:r>
          </w:p>
        </w:tc>
        <w:tc>
          <w:tcPr>
            <w:tcW w:w="1450" w:type="dxa"/>
            <w:shd w:val="clear" w:color="auto" w:fill="auto"/>
            <w:tcMar>
              <w:top w:w="0" w:type="dxa"/>
              <w:bottom w:w="0" w:type="dxa"/>
            </w:tcMar>
            <w:vAlign w:val="center"/>
          </w:tcPr>
          <w:p w14:paraId="5834797B"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2,200,000</w:t>
            </w:r>
          </w:p>
        </w:tc>
        <w:tc>
          <w:tcPr>
            <w:tcW w:w="1165" w:type="dxa"/>
            <w:shd w:val="clear" w:color="auto" w:fill="auto"/>
            <w:tcMar>
              <w:top w:w="0" w:type="dxa"/>
              <w:bottom w:w="0" w:type="dxa"/>
            </w:tcMar>
            <w:vAlign w:val="center"/>
          </w:tcPr>
          <w:p w14:paraId="70255905"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10,000</w:t>
            </w:r>
          </w:p>
        </w:tc>
      </w:tr>
      <w:tr w:rsidR="00CE44A3" w:rsidRPr="00574F57" w14:paraId="6737B5A7" w14:textId="77777777">
        <w:tc>
          <w:tcPr>
            <w:tcW w:w="1792" w:type="dxa"/>
            <w:gridSpan w:val="2"/>
            <w:shd w:val="clear" w:color="auto" w:fill="auto"/>
            <w:tcMar>
              <w:top w:w="0" w:type="dxa"/>
              <w:bottom w:w="0" w:type="dxa"/>
            </w:tcMar>
            <w:vAlign w:val="center"/>
          </w:tcPr>
          <w:p w14:paraId="7D699708" w14:textId="77777777" w:rsidR="00CE44A3" w:rsidRPr="00574F57" w:rsidRDefault="00574F57" w:rsidP="00574F57">
            <w:pPr>
              <w:pBdr>
                <w:top w:val="nil"/>
                <w:left w:val="nil"/>
                <w:bottom w:val="nil"/>
                <w:right w:val="nil"/>
                <w:between w:val="nil"/>
              </w:pBdr>
              <w:tabs>
                <w:tab w:val="left" w:pos="567"/>
              </w:tabs>
              <w:spacing w:after="120" w:line="360" w:lineRule="auto"/>
              <w:jc w:val="center"/>
              <w:rPr>
                <w:rFonts w:ascii="Arial" w:eastAsia="Arial" w:hAnsi="Arial" w:cs="Arial"/>
                <w:color w:val="010000"/>
                <w:sz w:val="20"/>
                <w:szCs w:val="20"/>
              </w:rPr>
            </w:pPr>
            <w:r w:rsidRPr="00574F57">
              <w:rPr>
                <w:rFonts w:ascii="Arial" w:hAnsi="Arial" w:cs="Arial"/>
                <w:color w:val="010000"/>
                <w:sz w:val="20"/>
                <w:szCs w:val="20"/>
              </w:rPr>
              <w:t>Total</w:t>
            </w:r>
          </w:p>
        </w:tc>
        <w:tc>
          <w:tcPr>
            <w:tcW w:w="1544" w:type="dxa"/>
            <w:shd w:val="clear" w:color="auto" w:fill="auto"/>
            <w:tcMar>
              <w:top w:w="0" w:type="dxa"/>
              <w:bottom w:w="0" w:type="dxa"/>
            </w:tcMar>
            <w:vAlign w:val="center"/>
          </w:tcPr>
          <w:p w14:paraId="56D3F981"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81,892,927,404</w:t>
            </w:r>
          </w:p>
        </w:tc>
        <w:tc>
          <w:tcPr>
            <w:tcW w:w="1544" w:type="dxa"/>
            <w:shd w:val="clear" w:color="auto" w:fill="auto"/>
            <w:tcMar>
              <w:top w:w="0" w:type="dxa"/>
              <w:bottom w:w="0" w:type="dxa"/>
            </w:tcMar>
            <w:vAlign w:val="center"/>
          </w:tcPr>
          <w:p w14:paraId="1D179D69" w14:textId="6C445515"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81,892,927,404</w:t>
            </w:r>
          </w:p>
        </w:tc>
        <w:tc>
          <w:tcPr>
            <w:tcW w:w="1522" w:type="dxa"/>
            <w:shd w:val="clear" w:color="auto" w:fill="auto"/>
            <w:tcMar>
              <w:top w:w="0" w:type="dxa"/>
              <w:bottom w:w="0" w:type="dxa"/>
            </w:tcMar>
            <w:vAlign w:val="center"/>
          </w:tcPr>
          <w:p w14:paraId="2DFE8CED"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22,000,000,000</w:t>
            </w:r>
          </w:p>
        </w:tc>
        <w:tc>
          <w:tcPr>
            <w:tcW w:w="1450" w:type="dxa"/>
            <w:shd w:val="clear" w:color="auto" w:fill="auto"/>
            <w:tcMar>
              <w:top w:w="0" w:type="dxa"/>
              <w:bottom w:w="0" w:type="dxa"/>
            </w:tcMar>
            <w:vAlign w:val="center"/>
          </w:tcPr>
          <w:p w14:paraId="19713A64"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2,200,000</w:t>
            </w:r>
          </w:p>
        </w:tc>
        <w:tc>
          <w:tcPr>
            <w:tcW w:w="1165" w:type="dxa"/>
            <w:shd w:val="clear" w:color="auto" w:fill="auto"/>
            <w:tcMar>
              <w:top w:w="0" w:type="dxa"/>
              <w:bottom w:w="0" w:type="dxa"/>
            </w:tcMar>
            <w:vAlign w:val="center"/>
          </w:tcPr>
          <w:p w14:paraId="27D9BD16" w14:textId="77777777" w:rsidR="00CE44A3" w:rsidRPr="00574F57" w:rsidRDefault="00574F57" w:rsidP="00574F57">
            <w:pPr>
              <w:pBdr>
                <w:top w:val="nil"/>
                <w:left w:val="nil"/>
                <w:bottom w:val="nil"/>
                <w:right w:val="nil"/>
                <w:between w:val="nil"/>
              </w:pBdr>
              <w:tabs>
                <w:tab w:val="left" w:pos="567"/>
              </w:tabs>
              <w:spacing w:after="120" w:line="360" w:lineRule="auto"/>
              <w:ind w:right="69"/>
              <w:jc w:val="right"/>
              <w:rPr>
                <w:rFonts w:ascii="Arial" w:eastAsia="Arial" w:hAnsi="Arial" w:cs="Arial"/>
                <w:color w:val="010000"/>
                <w:sz w:val="20"/>
                <w:szCs w:val="20"/>
              </w:rPr>
            </w:pPr>
            <w:r w:rsidRPr="00574F57">
              <w:rPr>
                <w:rFonts w:ascii="Arial" w:hAnsi="Arial" w:cs="Arial"/>
                <w:color w:val="010000"/>
                <w:sz w:val="20"/>
                <w:szCs w:val="20"/>
              </w:rPr>
              <w:t>10,000</w:t>
            </w:r>
          </w:p>
        </w:tc>
      </w:tr>
    </w:tbl>
    <w:p w14:paraId="5F40BE81"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Detailed information about the eligible buyers of the private placement to swap part of the debt:</w:t>
      </w:r>
    </w:p>
    <w:p w14:paraId="51D937D9" w14:textId="77777777"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Name of creditor: Vietnam Debt Trading Company Limited </w:t>
      </w:r>
    </w:p>
    <w:p w14:paraId="154069A2" w14:textId="77777777" w:rsidR="00CE44A3" w:rsidRPr="00574F57" w:rsidRDefault="00574F57" w:rsidP="00B20483">
      <w:pPr>
        <w:numPr>
          <w:ilvl w:val="0"/>
          <w:numId w:val="1"/>
        </w:numPr>
        <w:pBdr>
          <w:top w:val="nil"/>
          <w:left w:val="nil"/>
          <w:bottom w:val="nil"/>
          <w:right w:val="nil"/>
          <w:between w:val="nil"/>
        </w:pBdr>
        <w:tabs>
          <w:tab w:val="left" w:pos="567"/>
          <w:tab w:val="left" w:pos="1181"/>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Abbreviated name: DATC</w:t>
      </w:r>
    </w:p>
    <w:p w14:paraId="6321319C" w14:textId="77777777" w:rsidR="00CE44A3" w:rsidRPr="00574F57" w:rsidRDefault="00574F57" w:rsidP="00B20483">
      <w:pPr>
        <w:numPr>
          <w:ilvl w:val="0"/>
          <w:numId w:val="1"/>
        </w:numPr>
        <w:pBdr>
          <w:top w:val="nil"/>
          <w:left w:val="nil"/>
          <w:bottom w:val="nil"/>
          <w:right w:val="nil"/>
          <w:between w:val="nil"/>
        </w:pBdr>
        <w:tabs>
          <w:tab w:val="left" w:pos="567"/>
          <w:tab w:val="left" w:pos="1181"/>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Address: No. 51 Minh </w:t>
      </w:r>
      <w:proofErr w:type="spellStart"/>
      <w:r w:rsidRPr="00574F57">
        <w:rPr>
          <w:rFonts w:ascii="Arial" w:hAnsi="Arial" w:cs="Arial"/>
          <w:color w:val="010000"/>
          <w:sz w:val="20"/>
          <w:szCs w:val="20"/>
        </w:rPr>
        <w:t>Khai</w:t>
      </w:r>
      <w:proofErr w:type="spellEnd"/>
      <w:r w:rsidRPr="00574F57">
        <w:rPr>
          <w:rFonts w:ascii="Arial" w:hAnsi="Arial" w:cs="Arial"/>
          <w:color w:val="010000"/>
          <w:sz w:val="20"/>
          <w:szCs w:val="20"/>
        </w:rPr>
        <w:t xml:space="preserve"> Street, Hai Ba </w:t>
      </w:r>
      <w:proofErr w:type="spellStart"/>
      <w:r w:rsidRPr="00574F57">
        <w:rPr>
          <w:rFonts w:ascii="Arial" w:hAnsi="Arial" w:cs="Arial"/>
          <w:color w:val="010000"/>
          <w:sz w:val="20"/>
          <w:szCs w:val="20"/>
        </w:rPr>
        <w:t>Trung</w:t>
      </w:r>
      <w:proofErr w:type="spellEnd"/>
      <w:r w:rsidRPr="00574F57">
        <w:rPr>
          <w:rFonts w:ascii="Arial" w:hAnsi="Arial" w:cs="Arial"/>
          <w:color w:val="010000"/>
          <w:sz w:val="20"/>
          <w:szCs w:val="20"/>
        </w:rPr>
        <w:t xml:space="preserve"> District, Hanoi, Vietnam.</w:t>
      </w:r>
    </w:p>
    <w:p w14:paraId="0B790BA3" w14:textId="77777777" w:rsidR="00CE44A3" w:rsidRPr="00574F57" w:rsidRDefault="00574F57" w:rsidP="00B20483">
      <w:pPr>
        <w:numPr>
          <w:ilvl w:val="0"/>
          <w:numId w:val="1"/>
        </w:numPr>
        <w:pBdr>
          <w:top w:val="nil"/>
          <w:left w:val="nil"/>
          <w:bottom w:val="nil"/>
          <w:right w:val="nil"/>
          <w:between w:val="nil"/>
        </w:pBdr>
        <w:tabs>
          <w:tab w:val="left" w:pos="567"/>
          <w:tab w:val="left" w:pos="1181"/>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Tel: (024) 39 45 47 38; Fax: (024) 39 45 47 37</w:t>
      </w:r>
    </w:p>
    <w:p w14:paraId="3DC01726" w14:textId="77777777" w:rsidR="00CE44A3" w:rsidRPr="00574F57" w:rsidRDefault="00574F57" w:rsidP="00B20483">
      <w:pPr>
        <w:numPr>
          <w:ilvl w:val="0"/>
          <w:numId w:val="1"/>
        </w:numPr>
        <w:pBdr>
          <w:top w:val="nil"/>
          <w:left w:val="nil"/>
          <w:bottom w:val="nil"/>
          <w:right w:val="nil"/>
          <w:between w:val="nil"/>
        </w:pBdr>
        <w:tabs>
          <w:tab w:val="left" w:pos="567"/>
          <w:tab w:val="left" w:pos="1181"/>
        </w:tabs>
        <w:spacing w:after="120" w:line="360" w:lineRule="auto"/>
        <w:jc w:val="both"/>
        <w:rPr>
          <w:rFonts w:ascii="Arial" w:eastAsia="Arial" w:hAnsi="Arial" w:cs="Arial"/>
          <w:color w:val="010000"/>
          <w:sz w:val="20"/>
          <w:szCs w:val="20"/>
        </w:rPr>
      </w:pPr>
      <w:r w:rsidRPr="00574F57">
        <w:rPr>
          <w:rFonts w:ascii="Arial" w:hAnsi="Arial" w:cs="Arial"/>
          <w:sz w:val="20"/>
          <w:szCs w:val="20"/>
        </w:rPr>
        <w:t>Website address:</w:t>
      </w:r>
    </w:p>
    <w:p w14:paraId="0D44E9B8" w14:textId="77777777" w:rsidR="00CE44A3" w:rsidRPr="00574F57" w:rsidRDefault="00574F57" w:rsidP="00B20483">
      <w:pPr>
        <w:numPr>
          <w:ilvl w:val="0"/>
          <w:numId w:val="1"/>
        </w:numPr>
        <w:pBdr>
          <w:top w:val="nil"/>
          <w:left w:val="nil"/>
          <w:bottom w:val="nil"/>
          <w:right w:val="nil"/>
          <w:between w:val="nil"/>
        </w:pBdr>
        <w:tabs>
          <w:tab w:val="left" w:pos="567"/>
          <w:tab w:val="left" w:pos="1181"/>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The Business Registration Certificate (5th) of Single-member Limited Liability Company with enterprise code 0101431355 issued by Business Registration Office - Department of Planning and Investment of Hanoi City on July 5, 2016.</w:t>
      </w:r>
    </w:p>
    <w:p w14:paraId="27C6F450"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Transfer restriction: Limited transfer (01) year from the date of completion of the offering</w:t>
      </w:r>
    </w:p>
    <w:p w14:paraId="16976AF2"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Distribution method: The Issuer distributes directly to Investors</w:t>
      </w:r>
    </w:p>
    <w:p w14:paraId="49EE7D23"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Distribution time: After receiving the approval of the State Securities Commission on the issuance.</w:t>
      </w:r>
    </w:p>
    <w:p w14:paraId="5D437C88" w14:textId="77777777" w:rsidR="00CE44A3" w:rsidRPr="00574F57" w:rsidRDefault="00574F57" w:rsidP="00B20483">
      <w:pPr>
        <w:numPr>
          <w:ilvl w:val="0"/>
          <w:numId w:val="2"/>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Benefits of investors after swapping part of the debt:</w:t>
      </w:r>
    </w:p>
    <w:p w14:paraId="010D5EED" w14:textId="77777777" w:rsidR="00CE44A3" w:rsidRPr="00574F57" w:rsidRDefault="00574F57" w:rsidP="00B20483">
      <w:pPr>
        <w:numPr>
          <w:ilvl w:val="0"/>
          <w:numId w:val="3"/>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The rights to receive dividends: The above investors will receive distributed dividends or shares (if any) and will enjoy full benefits of common shares on the condition that these dividends will be kept at the Securities Depository and transferred to investors on the day the Company exercises the right to pay dividends;</w:t>
      </w:r>
    </w:p>
    <w:p w14:paraId="78FF64B0" w14:textId="77777777" w:rsidR="00CE44A3" w:rsidRPr="00574F57" w:rsidRDefault="00574F57" w:rsidP="00B20483">
      <w:pPr>
        <w:numPr>
          <w:ilvl w:val="0"/>
          <w:numId w:val="3"/>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The rights to deposit: Investors are allowed to deposit the entire number of shares in accordance with the provisions of law;</w:t>
      </w:r>
    </w:p>
    <w:p w14:paraId="78C6B5C9" w14:textId="77777777" w:rsidR="00CE44A3" w:rsidRPr="00574F57" w:rsidRDefault="00574F57" w:rsidP="00B20483">
      <w:pPr>
        <w:numPr>
          <w:ilvl w:val="0"/>
          <w:numId w:val="3"/>
        </w:numPr>
        <w:pBdr>
          <w:top w:val="nil"/>
          <w:left w:val="nil"/>
          <w:bottom w:val="nil"/>
          <w:right w:val="nil"/>
          <w:between w:val="nil"/>
        </w:pBdr>
        <w:tabs>
          <w:tab w:val="left" w:pos="426"/>
          <w:tab w:val="left" w:pos="567"/>
          <w:tab w:val="left" w:pos="228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The rights and obligations of share investors of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 Obey the provisions of current law and the Company's Charter.</w:t>
      </w:r>
    </w:p>
    <w:p w14:paraId="7A38E384" w14:textId="77777777" w:rsidR="00CE44A3" w:rsidRPr="00574F57" w:rsidRDefault="00574F57" w:rsidP="00B20483">
      <w:pPr>
        <w:numPr>
          <w:ilvl w:val="0"/>
          <w:numId w:val="2"/>
        </w:numPr>
        <w:pBdr>
          <w:top w:val="nil"/>
          <w:left w:val="nil"/>
          <w:bottom w:val="nil"/>
          <w:right w:val="nil"/>
          <w:between w:val="nil"/>
        </w:pBdr>
        <w:tabs>
          <w:tab w:val="left" w:pos="567"/>
          <w:tab w:val="left" w:pos="1329"/>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lastRenderedPageBreak/>
        <w:t>Plan for handling shares that have not yet been offered (if any): The General Meeting of Shareholders authorizes the Board of Directors to decide on handling the number of shares that have not yet been offered as expected in accordance with the provisions of law.</w:t>
      </w:r>
    </w:p>
    <w:p w14:paraId="737D36C3" w14:textId="77777777" w:rsidR="00CE44A3" w:rsidRPr="00574F57" w:rsidRDefault="00574F57" w:rsidP="00B20483">
      <w:pPr>
        <w:numPr>
          <w:ilvl w:val="0"/>
          <w:numId w:val="2"/>
        </w:numPr>
        <w:pBdr>
          <w:top w:val="nil"/>
          <w:left w:val="nil"/>
          <w:bottom w:val="nil"/>
          <w:right w:val="nil"/>
          <w:between w:val="nil"/>
        </w:pBdr>
        <w:tabs>
          <w:tab w:val="left" w:pos="567"/>
          <w:tab w:val="left" w:pos="1329"/>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Agreement principle: According to the Minutes of Partial Debt Swap Agreement between Vietnam Debt Trading Company Limited (DATC) and </w:t>
      </w:r>
      <w:proofErr w:type="spellStart"/>
      <w:r w:rsidRPr="00574F57">
        <w:rPr>
          <w:rFonts w:ascii="Arial" w:hAnsi="Arial" w:cs="Arial"/>
          <w:color w:val="010000"/>
          <w:sz w:val="20"/>
          <w:szCs w:val="20"/>
        </w:rPr>
        <w:t>Lilama</w:t>
      </w:r>
      <w:proofErr w:type="spellEnd"/>
      <w:r w:rsidRPr="00574F57">
        <w:rPr>
          <w:rFonts w:ascii="Arial" w:hAnsi="Arial" w:cs="Arial"/>
          <w:color w:val="010000"/>
          <w:sz w:val="20"/>
          <w:szCs w:val="20"/>
        </w:rPr>
        <w:t xml:space="preserve"> 45.4 JSC.</w:t>
      </w:r>
    </w:p>
    <w:p w14:paraId="25AAC1C4" w14:textId="77777777" w:rsidR="00CE44A3" w:rsidRPr="00574F57" w:rsidRDefault="00574F57" w:rsidP="00B20483">
      <w:pPr>
        <w:numPr>
          <w:ilvl w:val="0"/>
          <w:numId w:val="2"/>
        </w:numPr>
        <w:pBdr>
          <w:top w:val="nil"/>
          <w:left w:val="nil"/>
          <w:bottom w:val="nil"/>
          <w:right w:val="nil"/>
          <w:between w:val="nil"/>
        </w:pBdr>
        <w:tabs>
          <w:tab w:val="left" w:pos="567"/>
          <w:tab w:val="left" w:pos="1329"/>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Approve changing the charter capital in the Company's Charter and adjusting the Business Registration Certificate at the Department of Planning and Investment of Dong </w:t>
      </w:r>
      <w:proofErr w:type="spellStart"/>
      <w:r w:rsidRPr="00574F57">
        <w:rPr>
          <w:rFonts w:ascii="Arial" w:hAnsi="Arial" w:cs="Arial"/>
          <w:color w:val="010000"/>
          <w:sz w:val="20"/>
          <w:szCs w:val="20"/>
        </w:rPr>
        <w:t>Nai</w:t>
      </w:r>
      <w:proofErr w:type="spellEnd"/>
      <w:r w:rsidRPr="00574F57">
        <w:rPr>
          <w:rFonts w:ascii="Arial" w:hAnsi="Arial" w:cs="Arial"/>
          <w:color w:val="010000"/>
          <w:sz w:val="20"/>
          <w:szCs w:val="20"/>
        </w:rPr>
        <w:t xml:space="preserve"> province after having the issuance results report to the State Securities Commission.</w:t>
      </w:r>
    </w:p>
    <w:p w14:paraId="22D83779" w14:textId="77777777" w:rsidR="00CE44A3" w:rsidRPr="00574F57" w:rsidRDefault="00574F57" w:rsidP="00B20483">
      <w:pPr>
        <w:numPr>
          <w:ilvl w:val="0"/>
          <w:numId w:val="2"/>
        </w:numPr>
        <w:pBdr>
          <w:top w:val="nil"/>
          <w:left w:val="nil"/>
          <w:bottom w:val="nil"/>
          <w:right w:val="nil"/>
          <w:between w:val="nil"/>
        </w:pBdr>
        <w:tabs>
          <w:tab w:val="left" w:pos="567"/>
          <w:tab w:val="left" w:pos="1329"/>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Approve the registration of additional securities at the Vietnam Securities Depository and registration of additional transactions on the Hanoi Stock Exchange.</w:t>
      </w:r>
    </w:p>
    <w:p w14:paraId="5BD4EA6E" w14:textId="04097BA9" w:rsidR="00CE44A3" w:rsidRPr="00574F57" w:rsidRDefault="00574F57" w:rsidP="00B20483">
      <w:pPr>
        <w:pBdr>
          <w:top w:val="nil"/>
          <w:left w:val="nil"/>
          <w:bottom w:val="nil"/>
          <w:right w:val="nil"/>
          <w:between w:val="nil"/>
        </w:pBdr>
        <w:tabs>
          <w:tab w:val="left" w:pos="567"/>
        </w:tabs>
        <w:spacing w:after="120" w:line="360" w:lineRule="auto"/>
        <w:jc w:val="both"/>
        <w:rPr>
          <w:rFonts w:ascii="Arial" w:eastAsia="Arial" w:hAnsi="Arial" w:cs="Arial"/>
          <w:color w:val="010000"/>
          <w:sz w:val="20"/>
          <w:szCs w:val="20"/>
        </w:rPr>
      </w:pPr>
      <w:r w:rsidRPr="00574F57">
        <w:rPr>
          <w:rFonts w:ascii="Arial" w:hAnsi="Arial" w:cs="Arial"/>
          <w:color w:val="010000"/>
          <w:sz w:val="20"/>
          <w:szCs w:val="20"/>
        </w:rPr>
        <w:t xml:space="preserve">After completing the offering, the General Meeting approves and authorizes the Board of Directors to complete the procedures for additional securities registration at the Vietnam Securities Depository (VSD) and additional transaction registration at the Hanoi Stock Exchange </w:t>
      </w:r>
      <w:r w:rsidR="00B20483">
        <w:rPr>
          <w:rFonts w:ascii="Arial" w:hAnsi="Arial" w:cs="Arial"/>
          <w:color w:val="010000"/>
          <w:sz w:val="20"/>
          <w:szCs w:val="20"/>
        </w:rPr>
        <w:t>under applicable laws.</w:t>
      </w:r>
      <w:bookmarkStart w:id="0" w:name="_GoBack"/>
      <w:bookmarkEnd w:id="0"/>
    </w:p>
    <w:p w14:paraId="12327720" w14:textId="77777777" w:rsidR="00CE44A3" w:rsidRPr="00574F57" w:rsidRDefault="00CE44A3" w:rsidP="00B20483">
      <w:pPr>
        <w:tabs>
          <w:tab w:val="left" w:pos="567"/>
        </w:tabs>
        <w:spacing w:after="120" w:line="360" w:lineRule="auto"/>
        <w:jc w:val="both"/>
        <w:rPr>
          <w:rFonts w:ascii="Arial" w:eastAsia="Arial" w:hAnsi="Arial" w:cs="Arial"/>
          <w:color w:val="010000"/>
          <w:sz w:val="20"/>
          <w:szCs w:val="20"/>
        </w:rPr>
      </w:pPr>
    </w:p>
    <w:p w14:paraId="3510AF16" w14:textId="77777777" w:rsidR="00CE44A3" w:rsidRPr="00574F57" w:rsidRDefault="00CE44A3" w:rsidP="00B20483">
      <w:pPr>
        <w:tabs>
          <w:tab w:val="left" w:pos="567"/>
        </w:tabs>
        <w:spacing w:after="120" w:line="360" w:lineRule="auto"/>
        <w:jc w:val="both"/>
        <w:rPr>
          <w:rFonts w:ascii="Arial" w:eastAsia="Arial" w:hAnsi="Arial" w:cs="Arial"/>
          <w:color w:val="010000"/>
          <w:sz w:val="20"/>
          <w:szCs w:val="20"/>
        </w:rPr>
      </w:pPr>
    </w:p>
    <w:sectPr w:rsidR="00CE44A3" w:rsidRPr="00574F57">
      <w:type w:val="continuous"/>
      <w:pgSz w:w="11907" w:h="16839"/>
      <w:pgMar w:top="1440" w:right="1440" w:bottom="1440" w:left="1440"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92E4B"/>
    <w:multiLevelType w:val="multilevel"/>
    <w:tmpl w:val="68063624"/>
    <w:lvl w:ilvl="0">
      <w:start w:val="1"/>
      <w:numFmt w:val="lowerRoman"/>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C6026F2"/>
    <w:multiLevelType w:val="multilevel"/>
    <w:tmpl w:val="90CC7A98"/>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D052EA"/>
    <w:multiLevelType w:val="multilevel"/>
    <w:tmpl w:val="329263A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735045D"/>
    <w:multiLevelType w:val="multilevel"/>
    <w:tmpl w:val="444EF40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A3"/>
    <w:rsid w:val="00574F57"/>
    <w:rsid w:val="00B20483"/>
    <w:rsid w:val="00CE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0F5C"/>
  <w15:docId w15:val="{B1AB5466-C9FC-4B51-99A7-D3B39769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paragraph" w:customStyle="1" w:styleId="Tiu20">
    <w:name w:val="Tiêu đề #2"/>
    <w:basedOn w:val="Normal"/>
    <w:link w:val="Tiu2"/>
    <w:pPr>
      <w:spacing w:line="276" w:lineRule="auto"/>
      <w:ind w:left="1660" w:hanging="390"/>
      <w:outlineLvl w:val="1"/>
    </w:pPr>
    <w:rPr>
      <w:rFonts w:ascii="Times New Roman" w:eastAsia="Times New Roman" w:hAnsi="Times New Roman" w:cs="Times New Roman"/>
      <w:b/>
      <w:bCs/>
    </w:rPr>
  </w:style>
  <w:style w:type="paragraph" w:customStyle="1" w:styleId="Vnbnnidung0">
    <w:name w:val="Văn bản nội dung"/>
    <w:basedOn w:val="Normal"/>
    <w:link w:val="Vnbnnidung"/>
    <w:pPr>
      <w:spacing w:line="276" w:lineRule="auto"/>
    </w:pPr>
    <w:rPr>
      <w:rFonts w:ascii="Times New Roman" w:eastAsia="Times New Roman" w:hAnsi="Times New Roman" w:cs="Times New Roman"/>
    </w:rPr>
  </w:style>
  <w:style w:type="paragraph" w:customStyle="1" w:styleId="Tiu10">
    <w:name w:val="Tiêu đề #1"/>
    <w:basedOn w:val="Normal"/>
    <w:link w:val="Tiu1"/>
    <w:pPr>
      <w:ind w:left="4760"/>
      <w:outlineLvl w:val="0"/>
    </w:pPr>
    <w:rPr>
      <w:rFonts w:ascii="Times New Roman" w:eastAsia="Times New Roman" w:hAnsi="Times New Roman" w:cs="Times New Roman"/>
      <w:b/>
      <w:bCs/>
      <w:sz w:val="34"/>
      <w:szCs w:val="34"/>
    </w:rPr>
  </w:style>
  <w:style w:type="paragraph" w:customStyle="1" w:styleId="Vnbnnidung20">
    <w:name w:val="Văn bản nội dung (2)"/>
    <w:basedOn w:val="Normal"/>
    <w:link w:val="Vnbnnidung2"/>
    <w:pPr>
      <w:ind w:left="2700"/>
    </w:pPr>
    <w:rPr>
      <w:rFonts w:ascii="Times New Roman" w:eastAsia="Times New Roman" w:hAnsi="Times New Roman" w:cs="Times New Roman"/>
      <w:b/>
      <w:bCs/>
      <w:sz w:val="28"/>
      <w:szCs w:val="28"/>
    </w:rPr>
  </w:style>
  <w:style w:type="paragraph" w:customStyle="1" w:styleId="Vnbnnidung30">
    <w:name w:val="Văn bản nội dung (3)"/>
    <w:basedOn w:val="Normal"/>
    <w:link w:val="Vnbnnidung3"/>
    <w:pPr>
      <w:spacing w:line="223" w:lineRule="auto"/>
    </w:pPr>
    <w:rPr>
      <w:rFonts w:ascii="Times New Roman" w:eastAsia="Times New Roman" w:hAnsi="Times New Roman" w:cs="Times New Roman"/>
      <w:color w:val="FF0000"/>
      <w:sz w:val="17"/>
      <w:szCs w:val="17"/>
    </w:rPr>
  </w:style>
  <w:style w:type="character" w:customStyle="1" w:styleId="Khc">
    <w:name w:val="Khác_"/>
    <w:basedOn w:val="DefaultParagraphFont"/>
    <w:link w:val="Khc0"/>
    <w:rsid w:val="00F57C81"/>
    <w:rPr>
      <w:rFonts w:ascii="Times New Roman" w:eastAsia="Times New Roman" w:hAnsi="Times New Roman" w:cs="Times New Roman"/>
    </w:rPr>
  </w:style>
  <w:style w:type="character" w:customStyle="1" w:styleId="Chthchbng">
    <w:name w:val="Chú thích bảng_"/>
    <w:basedOn w:val="DefaultParagraphFont"/>
    <w:link w:val="Chthchbng0"/>
    <w:rsid w:val="00F57C81"/>
    <w:rPr>
      <w:rFonts w:ascii="Times New Roman" w:eastAsia="Times New Roman" w:hAnsi="Times New Roman" w:cs="Times New Roman"/>
      <w:b/>
      <w:bCs/>
      <w:i/>
      <w:iCs/>
      <w:sz w:val="22"/>
      <w:szCs w:val="22"/>
    </w:rPr>
  </w:style>
  <w:style w:type="paragraph" w:customStyle="1" w:styleId="Khc0">
    <w:name w:val="Khác"/>
    <w:basedOn w:val="Normal"/>
    <w:link w:val="Khc"/>
    <w:rsid w:val="00F57C81"/>
    <w:rPr>
      <w:rFonts w:ascii="Times New Roman" w:eastAsia="Times New Roman" w:hAnsi="Times New Roman" w:cs="Times New Roman"/>
      <w:color w:val="auto"/>
    </w:rPr>
  </w:style>
  <w:style w:type="paragraph" w:customStyle="1" w:styleId="Chthchbng0">
    <w:name w:val="Chú thích bảng"/>
    <w:basedOn w:val="Normal"/>
    <w:link w:val="Chthchbng"/>
    <w:rsid w:val="00F57C81"/>
    <w:rPr>
      <w:rFonts w:ascii="Times New Roman" w:eastAsia="Times New Roman" w:hAnsi="Times New Roman" w:cs="Times New Roman"/>
      <w:b/>
      <w:bCs/>
      <w:i/>
      <w:iCs/>
      <w:color w:val="auto"/>
      <w:sz w:val="22"/>
      <w:szCs w:val="22"/>
    </w:rPr>
  </w:style>
  <w:style w:type="character" w:customStyle="1" w:styleId="Tiu4">
    <w:name w:val="Tiêu đề #4_"/>
    <w:basedOn w:val="DefaultParagraphFont"/>
    <w:link w:val="Tiu40"/>
    <w:rsid w:val="000128BC"/>
    <w:rPr>
      <w:rFonts w:ascii="Times New Roman" w:eastAsia="Times New Roman" w:hAnsi="Times New Roman" w:cs="Times New Roman"/>
      <w:b/>
      <w:bCs/>
    </w:rPr>
  </w:style>
  <w:style w:type="paragraph" w:customStyle="1" w:styleId="Tiu40">
    <w:name w:val="Tiêu đề #4"/>
    <w:basedOn w:val="Normal"/>
    <w:link w:val="Tiu4"/>
    <w:rsid w:val="000128BC"/>
    <w:pPr>
      <w:ind w:left="1400"/>
      <w:outlineLvl w:val="3"/>
    </w:pPr>
    <w:rPr>
      <w:rFonts w:ascii="Times New Roman" w:eastAsia="Times New Roman" w:hAnsi="Times New Roman" w:cs="Times New Roman"/>
      <w:b/>
      <w:bCs/>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T838LDY+Eyb7UEJXwdCXWR/DA==">CgMxLjA4AHIhMVRGLVB0Z0RCaW9wQ25lTS1iaDV6djBDbWswcjNxaWMx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2024-05-03T11:43:00Z</dcterms:created>
  <dcterms:modified xsi:type="dcterms:W3CDTF">2024-05-03T11:43:00Z</dcterms:modified>
</cp:coreProperties>
</file>