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24377" w14:textId="71253A9C" w:rsidR="00510E34" w:rsidRDefault="002455ED" w:rsidP="00C70E19">
      <w:pPr>
        <w:pBdr>
          <w:top w:val="nil"/>
          <w:left w:val="nil"/>
          <w:bottom w:val="nil"/>
          <w:right w:val="nil"/>
          <w:between w:val="nil"/>
        </w:pBdr>
        <w:spacing w:after="120" w:line="360" w:lineRule="auto"/>
        <w:jc w:val="both"/>
        <w:rPr>
          <w:rFonts w:ascii="Arial" w:eastAsia="Arial" w:hAnsi="Arial" w:cs="Arial"/>
          <w:b/>
          <w:color w:val="010000"/>
          <w:sz w:val="20"/>
          <w:szCs w:val="20"/>
        </w:rPr>
      </w:pPr>
      <w:r>
        <w:rPr>
          <w:rFonts w:ascii="Arial" w:hAnsi="Arial"/>
          <w:b/>
          <w:color w:val="010000"/>
          <w:sz w:val="20"/>
        </w:rPr>
        <w:t>LGM: Annual General Mandate</w:t>
      </w:r>
      <w:r w:rsidR="00C70E19">
        <w:rPr>
          <w:rFonts w:ascii="Arial" w:hAnsi="Arial"/>
          <w:b/>
          <w:color w:val="010000"/>
          <w:sz w:val="20"/>
        </w:rPr>
        <w:t xml:space="preserve"> 2024</w:t>
      </w:r>
    </w:p>
    <w:p w14:paraId="1B032DA2" w14:textId="77777777" w:rsidR="00510E34" w:rsidRDefault="002455ED" w:rsidP="00C70E1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On April 25, 2024, Leather Footwear and Garment Making Exporting Corporation announced General Mandate No. 02/NQ-DHDCD on issues at the Annual General Meeting of Shareholders 2024 as follows: </w:t>
      </w:r>
    </w:p>
    <w:p w14:paraId="63FA6E00" w14:textId="62B92D3A" w:rsidR="00510E34" w:rsidRDefault="002455ED" w:rsidP="00C70E1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1. Approve Report No. 2</w:t>
      </w:r>
      <w:r w:rsidR="00C70E19">
        <w:rPr>
          <w:rFonts w:ascii="Arial" w:hAnsi="Arial"/>
          <w:color w:val="010000"/>
          <w:sz w:val="20"/>
        </w:rPr>
        <w:t>0/BC-HDQT dated April 4, 2024 by</w:t>
      </w:r>
      <w:r>
        <w:rPr>
          <w:rFonts w:ascii="Arial" w:hAnsi="Arial"/>
          <w:color w:val="010000"/>
          <w:sz w:val="20"/>
        </w:rPr>
        <w:t xml:space="preserve"> the Board of Directors on operating results in 2023 and operational program in 2024 of the Board of Directors.</w:t>
      </w:r>
    </w:p>
    <w:p w14:paraId="195AE126" w14:textId="5D3913CD" w:rsidR="00510E34" w:rsidRDefault="002455ED" w:rsidP="00C70E1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‎‎Article 2. Approve Report No. </w:t>
      </w:r>
      <w:r w:rsidR="00C70E19">
        <w:rPr>
          <w:rFonts w:ascii="Arial" w:hAnsi="Arial"/>
          <w:color w:val="010000"/>
          <w:sz w:val="20"/>
        </w:rPr>
        <w:t>43/BC-TGD dated April 4, 2023 by</w:t>
      </w:r>
      <w:r>
        <w:rPr>
          <w:rFonts w:ascii="Arial" w:hAnsi="Arial"/>
          <w:color w:val="010000"/>
          <w:sz w:val="20"/>
        </w:rPr>
        <w:t xml:space="preserve"> the </w:t>
      </w:r>
      <w:r w:rsidR="00C70E19">
        <w:rPr>
          <w:rFonts w:ascii="Arial" w:hAnsi="Arial"/>
          <w:color w:val="010000"/>
          <w:sz w:val="20"/>
        </w:rPr>
        <w:t>Managing Director</w:t>
      </w:r>
      <w:r>
        <w:rPr>
          <w:rFonts w:ascii="Arial" w:hAnsi="Arial"/>
          <w:color w:val="010000"/>
          <w:sz w:val="20"/>
        </w:rPr>
        <w:t xml:space="preserve"> on production - business results in 2023 and production - business plan in 2024.</w:t>
      </w:r>
    </w:p>
    <w:p w14:paraId="2364A1A4" w14:textId="60BEFBBB" w:rsidR="00510E34" w:rsidRDefault="002455ED" w:rsidP="00C70E1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I. Production - business result in 2023</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
        <w:gridCol w:w="3704"/>
        <w:gridCol w:w="1740"/>
        <w:gridCol w:w="1749"/>
        <w:gridCol w:w="1297"/>
      </w:tblGrid>
      <w:tr w:rsidR="00510E34" w14:paraId="6E28EF70" w14:textId="77777777">
        <w:tc>
          <w:tcPr>
            <w:tcW w:w="527" w:type="dxa"/>
            <w:shd w:val="clear" w:color="auto" w:fill="auto"/>
            <w:tcMar>
              <w:top w:w="0" w:type="dxa"/>
              <w:bottom w:w="0" w:type="dxa"/>
            </w:tcMar>
            <w:vAlign w:val="center"/>
          </w:tcPr>
          <w:p w14:paraId="6699D476"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No.</w:t>
            </w:r>
          </w:p>
        </w:tc>
        <w:tc>
          <w:tcPr>
            <w:tcW w:w="3704" w:type="dxa"/>
            <w:shd w:val="clear" w:color="auto" w:fill="auto"/>
            <w:tcMar>
              <w:top w:w="0" w:type="dxa"/>
              <w:bottom w:w="0" w:type="dxa"/>
            </w:tcMar>
            <w:vAlign w:val="center"/>
          </w:tcPr>
          <w:p w14:paraId="3678A270"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Results</w:t>
            </w:r>
          </w:p>
        </w:tc>
        <w:tc>
          <w:tcPr>
            <w:tcW w:w="1740" w:type="dxa"/>
            <w:shd w:val="clear" w:color="auto" w:fill="auto"/>
            <w:tcMar>
              <w:top w:w="0" w:type="dxa"/>
              <w:bottom w:w="0" w:type="dxa"/>
            </w:tcMar>
            <w:vAlign w:val="center"/>
          </w:tcPr>
          <w:p w14:paraId="4CFC67EC"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2022</w:t>
            </w:r>
          </w:p>
        </w:tc>
        <w:tc>
          <w:tcPr>
            <w:tcW w:w="1749" w:type="dxa"/>
            <w:shd w:val="clear" w:color="auto" w:fill="auto"/>
            <w:tcMar>
              <w:top w:w="0" w:type="dxa"/>
              <w:bottom w:w="0" w:type="dxa"/>
            </w:tcMar>
            <w:vAlign w:val="center"/>
          </w:tcPr>
          <w:p w14:paraId="0A2B9C48"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2023</w:t>
            </w:r>
          </w:p>
        </w:tc>
        <w:tc>
          <w:tcPr>
            <w:tcW w:w="1297" w:type="dxa"/>
            <w:shd w:val="clear" w:color="auto" w:fill="auto"/>
            <w:tcMar>
              <w:top w:w="0" w:type="dxa"/>
              <w:bottom w:w="0" w:type="dxa"/>
            </w:tcMar>
            <w:vAlign w:val="center"/>
          </w:tcPr>
          <w:p w14:paraId="46173DF0"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 Increase/</w:t>
            </w:r>
          </w:p>
          <w:p w14:paraId="04AFFA7B"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Decrease</w:t>
            </w:r>
          </w:p>
        </w:tc>
      </w:tr>
      <w:tr w:rsidR="00510E34" w14:paraId="7606BDE2" w14:textId="77777777">
        <w:tc>
          <w:tcPr>
            <w:tcW w:w="527" w:type="dxa"/>
            <w:shd w:val="clear" w:color="auto" w:fill="auto"/>
            <w:tcMar>
              <w:top w:w="0" w:type="dxa"/>
              <w:bottom w:w="0" w:type="dxa"/>
            </w:tcMar>
            <w:vAlign w:val="center"/>
          </w:tcPr>
          <w:p w14:paraId="337682B7"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w:t>
            </w:r>
          </w:p>
        </w:tc>
        <w:tc>
          <w:tcPr>
            <w:tcW w:w="3704" w:type="dxa"/>
            <w:shd w:val="clear" w:color="auto" w:fill="auto"/>
            <w:tcMar>
              <w:top w:w="0" w:type="dxa"/>
              <w:bottom w:w="0" w:type="dxa"/>
            </w:tcMar>
            <w:vAlign w:val="center"/>
          </w:tcPr>
          <w:p w14:paraId="64817707" w14:textId="77777777" w:rsidR="00510E34" w:rsidRDefault="002455ED">
            <w:pPr>
              <w:pBdr>
                <w:top w:val="nil"/>
                <w:left w:val="nil"/>
                <w:bottom w:val="nil"/>
                <w:right w:val="nil"/>
                <w:between w:val="nil"/>
              </w:pBdr>
              <w:spacing w:after="120" w:line="360" w:lineRule="auto"/>
              <w:ind w:left="27"/>
              <w:rPr>
                <w:rFonts w:ascii="Arial" w:eastAsia="Arial" w:hAnsi="Arial" w:cs="Arial"/>
                <w:color w:val="010000"/>
                <w:sz w:val="20"/>
                <w:szCs w:val="20"/>
              </w:rPr>
            </w:pPr>
            <w:r>
              <w:rPr>
                <w:rFonts w:ascii="Arial" w:hAnsi="Arial"/>
                <w:color w:val="010000"/>
                <w:sz w:val="20"/>
              </w:rPr>
              <w:t>Total values of assets</w:t>
            </w:r>
          </w:p>
        </w:tc>
        <w:tc>
          <w:tcPr>
            <w:tcW w:w="1740" w:type="dxa"/>
            <w:shd w:val="clear" w:color="auto" w:fill="auto"/>
            <w:tcMar>
              <w:top w:w="0" w:type="dxa"/>
              <w:bottom w:w="0" w:type="dxa"/>
            </w:tcMar>
            <w:vAlign w:val="center"/>
          </w:tcPr>
          <w:p w14:paraId="55C02B7F" w14:textId="77777777" w:rsidR="00510E34" w:rsidRDefault="002455ED">
            <w:pPr>
              <w:pBdr>
                <w:top w:val="nil"/>
                <w:left w:val="nil"/>
                <w:bottom w:val="nil"/>
                <w:right w:val="nil"/>
                <w:between w:val="nil"/>
              </w:pBdr>
              <w:spacing w:after="120" w:line="360" w:lineRule="auto"/>
              <w:ind w:right="16"/>
              <w:jc w:val="right"/>
              <w:rPr>
                <w:rFonts w:ascii="Arial" w:eastAsia="Arial" w:hAnsi="Arial" w:cs="Arial"/>
                <w:color w:val="010000"/>
                <w:sz w:val="20"/>
                <w:szCs w:val="20"/>
              </w:rPr>
            </w:pPr>
            <w:r>
              <w:rPr>
                <w:rFonts w:ascii="Arial" w:hAnsi="Arial"/>
                <w:color w:val="010000"/>
                <w:sz w:val="20"/>
              </w:rPr>
              <w:t>111,207,287,990</w:t>
            </w:r>
          </w:p>
        </w:tc>
        <w:tc>
          <w:tcPr>
            <w:tcW w:w="1749" w:type="dxa"/>
            <w:shd w:val="clear" w:color="auto" w:fill="auto"/>
            <w:tcMar>
              <w:top w:w="0" w:type="dxa"/>
              <w:bottom w:w="0" w:type="dxa"/>
            </w:tcMar>
            <w:vAlign w:val="center"/>
          </w:tcPr>
          <w:p w14:paraId="48518CD0" w14:textId="77777777" w:rsidR="00510E34" w:rsidRDefault="002455ED">
            <w:pPr>
              <w:pBdr>
                <w:top w:val="nil"/>
                <w:left w:val="nil"/>
                <w:bottom w:val="nil"/>
                <w:right w:val="nil"/>
                <w:between w:val="nil"/>
              </w:pBdr>
              <w:spacing w:after="120" w:line="360" w:lineRule="auto"/>
              <w:ind w:right="16"/>
              <w:jc w:val="right"/>
              <w:rPr>
                <w:rFonts w:ascii="Arial" w:eastAsia="Arial" w:hAnsi="Arial" w:cs="Arial"/>
                <w:color w:val="010000"/>
                <w:sz w:val="20"/>
                <w:szCs w:val="20"/>
              </w:rPr>
            </w:pPr>
            <w:r>
              <w:rPr>
                <w:rFonts w:ascii="Arial" w:hAnsi="Arial"/>
                <w:color w:val="010000"/>
                <w:sz w:val="20"/>
              </w:rPr>
              <w:t>65,711,907,988</w:t>
            </w:r>
          </w:p>
        </w:tc>
        <w:tc>
          <w:tcPr>
            <w:tcW w:w="1297" w:type="dxa"/>
            <w:shd w:val="clear" w:color="auto" w:fill="auto"/>
            <w:tcMar>
              <w:top w:w="0" w:type="dxa"/>
              <w:bottom w:w="0" w:type="dxa"/>
            </w:tcMar>
            <w:vAlign w:val="center"/>
          </w:tcPr>
          <w:p w14:paraId="7B93F40E" w14:textId="77777777" w:rsidR="00510E34" w:rsidRDefault="002455ED">
            <w:pPr>
              <w:pBdr>
                <w:top w:val="nil"/>
                <w:left w:val="nil"/>
                <w:bottom w:val="nil"/>
                <w:right w:val="nil"/>
                <w:between w:val="nil"/>
              </w:pBdr>
              <w:spacing w:after="120" w:line="360" w:lineRule="auto"/>
              <w:ind w:right="16"/>
              <w:jc w:val="right"/>
              <w:rPr>
                <w:rFonts w:ascii="Arial" w:eastAsia="Arial" w:hAnsi="Arial" w:cs="Arial"/>
                <w:color w:val="010000"/>
                <w:sz w:val="20"/>
                <w:szCs w:val="20"/>
              </w:rPr>
            </w:pPr>
            <w:r>
              <w:rPr>
                <w:rFonts w:ascii="Arial" w:hAnsi="Arial"/>
                <w:color w:val="010000"/>
                <w:sz w:val="20"/>
              </w:rPr>
              <w:t>-41%</w:t>
            </w:r>
          </w:p>
        </w:tc>
      </w:tr>
      <w:tr w:rsidR="00510E34" w14:paraId="26B8CFEE" w14:textId="77777777">
        <w:tc>
          <w:tcPr>
            <w:tcW w:w="527" w:type="dxa"/>
            <w:shd w:val="clear" w:color="auto" w:fill="auto"/>
            <w:tcMar>
              <w:top w:w="0" w:type="dxa"/>
              <w:bottom w:w="0" w:type="dxa"/>
            </w:tcMar>
            <w:vAlign w:val="center"/>
          </w:tcPr>
          <w:p w14:paraId="7BAF9097"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2</w:t>
            </w:r>
          </w:p>
        </w:tc>
        <w:tc>
          <w:tcPr>
            <w:tcW w:w="3704" w:type="dxa"/>
            <w:shd w:val="clear" w:color="auto" w:fill="auto"/>
            <w:tcMar>
              <w:top w:w="0" w:type="dxa"/>
              <w:bottom w:w="0" w:type="dxa"/>
            </w:tcMar>
            <w:vAlign w:val="center"/>
          </w:tcPr>
          <w:p w14:paraId="194AFD0D" w14:textId="77777777" w:rsidR="00510E34" w:rsidRDefault="002455ED">
            <w:pPr>
              <w:pBdr>
                <w:top w:val="nil"/>
                <w:left w:val="nil"/>
                <w:bottom w:val="nil"/>
                <w:right w:val="nil"/>
                <w:between w:val="nil"/>
              </w:pBdr>
              <w:spacing w:after="120" w:line="360" w:lineRule="auto"/>
              <w:ind w:left="27"/>
              <w:rPr>
                <w:rFonts w:ascii="Arial" w:eastAsia="Arial" w:hAnsi="Arial" w:cs="Arial"/>
                <w:color w:val="010000"/>
                <w:sz w:val="20"/>
                <w:szCs w:val="20"/>
              </w:rPr>
            </w:pPr>
            <w:r>
              <w:rPr>
                <w:rFonts w:ascii="Arial" w:hAnsi="Arial"/>
                <w:color w:val="010000"/>
                <w:sz w:val="20"/>
              </w:rPr>
              <w:t>Owners’ equity</w:t>
            </w:r>
          </w:p>
        </w:tc>
        <w:tc>
          <w:tcPr>
            <w:tcW w:w="1740" w:type="dxa"/>
            <w:shd w:val="clear" w:color="auto" w:fill="auto"/>
            <w:tcMar>
              <w:top w:w="0" w:type="dxa"/>
              <w:bottom w:w="0" w:type="dxa"/>
            </w:tcMar>
            <w:vAlign w:val="center"/>
          </w:tcPr>
          <w:p w14:paraId="6CDA8980" w14:textId="77777777" w:rsidR="00510E34" w:rsidRDefault="002455ED">
            <w:pPr>
              <w:pBdr>
                <w:top w:val="nil"/>
                <w:left w:val="nil"/>
                <w:bottom w:val="nil"/>
                <w:right w:val="nil"/>
                <w:between w:val="nil"/>
              </w:pBdr>
              <w:spacing w:after="120" w:line="360" w:lineRule="auto"/>
              <w:ind w:right="16"/>
              <w:jc w:val="right"/>
              <w:rPr>
                <w:rFonts w:ascii="Arial" w:eastAsia="Arial" w:hAnsi="Arial" w:cs="Arial"/>
                <w:color w:val="010000"/>
                <w:sz w:val="20"/>
                <w:szCs w:val="20"/>
              </w:rPr>
            </w:pPr>
            <w:r>
              <w:rPr>
                <w:rFonts w:ascii="Arial" w:hAnsi="Arial"/>
                <w:color w:val="010000"/>
                <w:sz w:val="20"/>
              </w:rPr>
              <w:t>17,035,036,914</w:t>
            </w:r>
          </w:p>
        </w:tc>
        <w:tc>
          <w:tcPr>
            <w:tcW w:w="1749" w:type="dxa"/>
            <w:shd w:val="clear" w:color="auto" w:fill="auto"/>
            <w:tcMar>
              <w:top w:w="0" w:type="dxa"/>
              <w:bottom w:w="0" w:type="dxa"/>
            </w:tcMar>
            <w:vAlign w:val="center"/>
          </w:tcPr>
          <w:p w14:paraId="16D9F308" w14:textId="77777777" w:rsidR="00510E34" w:rsidRDefault="002455ED">
            <w:pPr>
              <w:pBdr>
                <w:top w:val="nil"/>
                <w:left w:val="nil"/>
                <w:bottom w:val="nil"/>
                <w:right w:val="nil"/>
                <w:between w:val="nil"/>
              </w:pBdr>
              <w:spacing w:after="120" w:line="360" w:lineRule="auto"/>
              <w:ind w:right="16"/>
              <w:jc w:val="right"/>
              <w:rPr>
                <w:rFonts w:ascii="Arial" w:eastAsia="Arial" w:hAnsi="Arial" w:cs="Arial"/>
                <w:color w:val="010000"/>
                <w:sz w:val="20"/>
                <w:szCs w:val="20"/>
              </w:rPr>
            </w:pPr>
            <w:r>
              <w:rPr>
                <w:rFonts w:ascii="Arial" w:hAnsi="Arial"/>
                <w:color w:val="010000"/>
                <w:sz w:val="20"/>
              </w:rPr>
              <w:t>(45,709,025,770)</w:t>
            </w:r>
          </w:p>
        </w:tc>
        <w:tc>
          <w:tcPr>
            <w:tcW w:w="1297" w:type="dxa"/>
            <w:shd w:val="clear" w:color="auto" w:fill="auto"/>
            <w:tcMar>
              <w:top w:w="0" w:type="dxa"/>
              <w:bottom w:w="0" w:type="dxa"/>
            </w:tcMar>
            <w:vAlign w:val="center"/>
          </w:tcPr>
          <w:p w14:paraId="424D3360" w14:textId="77777777" w:rsidR="00510E34" w:rsidRDefault="002455ED">
            <w:pPr>
              <w:pBdr>
                <w:top w:val="nil"/>
                <w:left w:val="nil"/>
                <w:bottom w:val="nil"/>
                <w:right w:val="nil"/>
                <w:between w:val="nil"/>
              </w:pBdr>
              <w:spacing w:after="120" w:line="360" w:lineRule="auto"/>
              <w:ind w:right="16"/>
              <w:jc w:val="right"/>
              <w:rPr>
                <w:rFonts w:ascii="Arial" w:eastAsia="Arial" w:hAnsi="Arial" w:cs="Arial"/>
                <w:color w:val="010000"/>
                <w:sz w:val="20"/>
                <w:szCs w:val="20"/>
              </w:rPr>
            </w:pPr>
            <w:r>
              <w:rPr>
                <w:rFonts w:ascii="Arial" w:hAnsi="Arial"/>
                <w:color w:val="010000"/>
                <w:sz w:val="20"/>
              </w:rPr>
              <w:t>-368%</w:t>
            </w:r>
          </w:p>
        </w:tc>
      </w:tr>
      <w:tr w:rsidR="00510E34" w14:paraId="6175780E" w14:textId="77777777">
        <w:tc>
          <w:tcPr>
            <w:tcW w:w="527" w:type="dxa"/>
            <w:shd w:val="clear" w:color="auto" w:fill="auto"/>
            <w:tcMar>
              <w:top w:w="0" w:type="dxa"/>
              <w:bottom w:w="0" w:type="dxa"/>
            </w:tcMar>
            <w:vAlign w:val="center"/>
          </w:tcPr>
          <w:p w14:paraId="1B0DA013"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3</w:t>
            </w:r>
          </w:p>
        </w:tc>
        <w:tc>
          <w:tcPr>
            <w:tcW w:w="3704" w:type="dxa"/>
            <w:shd w:val="clear" w:color="auto" w:fill="auto"/>
            <w:tcMar>
              <w:top w:w="0" w:type="dxa"/>
              <w:bottom w:w="0" w:type="dxa"/>
            </w:tcMar>
            <w:vAlign w:val="center"/>
          </w:tcPr>
          <w:p w14:paraId="74C2BEBC" w14:textId="77777777" w:rsidR="00510E34" w:rsidRDefault="002455ED">
            <w:pPr>
              <w:pBdr>
                <w:top w:val="nil"/>
                <w:left w:val="nil"/>
                <w:bottom w:val="nil"/>
                <w:right w:val="nil"/>
                <w:between w:val="nil"/>
              </w:pBdr>
              <w:spacing w:after="120" w:line="360" w:lineRule="auto"/>
              <w:ind w:left="27"/>
              <w:rPr>
                <w:rFonts w:ascii="Arial" w:eastAsia="Arial" w:hAnsi="Arial" w:cs="Arial"/>
                <w:color w:val="010000"/>
                <w:sz w:val="20"/>
                <w:szCs w:val="20"/>
              </w:rPr>
            </w:pPr>
            <w:r>
              <w:rPr>
                <w:rFonts w:ascii="Arial" w:hAnsi="Arial"/>
                <w:color w:val="010000"/>
                <w:sz w:val="20"/>
              </w:rPr>
              <w:t>Net revenue</w:t>
            </w:r>
          </w:p>
        </w:tc>
        <w:tc>
          <w:tcPr>
            <w:tcW w:w="1740" w:type="dxa"/>
            <w:shd w:val="clear" w:color="auto" w:fill="auto"/>
            <w:tcMar>
              <w:top w:w="0" w:type="dxa"/>
              <w:bottom w:w="0" w:type="dxa"/>
            </w:tcMar>
            <w:vAlign w:val="center"/>
          </w:tcPr>
          <w:p w14:paraId="6E1C1739" w14:textId="77777777" w:rsidR="00510E34" w:rsidRDefault="002455ED">
            <w:pPr>
              <w:pBdr>
                <w:top w:val="nil"/>
                <w:left w:val="nil"/>
                <w:bottom w:val="nil"/>
                <w:right w:val="nil"/>
                <w:between w:val="nil"/>
              </w:pBdr>
              <w:spacing w:after="120" w:line="360" w:lineRule="auto"/>
              <w:ind w:right="16"/>
              <w:jc w:val="right"/>
              <w:rPr>
                <w:rFonts w:ascii="Arial" w:eastAsia="Arial" w:hAnsi="Arial" w:cs="Arial"/>
                <w:color w:val="010000"/>
                <w:sz w:val="20"/>
                <w:szCs w:val="20"/>
              </w:rPr>
            </w:pPr>
            <w:r>
              <w:rPr>
                <w:rFonts w:ascii="Arial" w:hAnsi="Arial"/>
                <w:color w:val="010000"/>
                <w:sz w:val="20"/>
              </w:rPr>
              <w:t>128,739,386,075</w:t>
            </w:r>
          </w:p>
        </w:tc>
        <w:tc>
          <w:tcPr>
            <w:tcW w:w="1749" w:type="dxa"/>
            <w:shd w:val="clear" w:color="auto" w:fill="auto"/>
            <w:tcMar>
              <w:top w:w="0" w:type="dxa"/>
              <w:bottom w:w="0" w:type="dxa"/>
            </w:tcMar>
            <w:vAlign w:val="center"/>
          </w:tcPr>
          <w:p w14:paraId="46B3D952" w14:textId="77777777" w:rsidR="00510E34" w:rsidRDefault="002455ED">
            <w:pPr>
              <w:pBdr>
                <w:top w:val="nil"/>
                <w:left w:val="nil"/>
                <w:bottom w:val="nil"/>
                <w:right w:val="nil"/>
                <w:between w:val="nil"/>
              </w:pBdr>
              <w:spacing w:after="120" w:line="360" w:lineRule="auto"/>
              <w:ind w:right="16"/>
              <w:jc w:val="right"/>
              <w:rPr>
                <w:rFonts w:ascii="Arial" w:eastAsia="Arial" w:hAnsi="Arial" w:cs="Arial"/>
                <w:color w:val="010000"/>
                <w:sz w:val="20"/>
                <w:szCs w:val="20"/>
              </w:rPr>
            </w:pPr>
            <w:r>
              <w:rPr>
                <w:rFonts w:ascii="Arial" w:hAnsi="Arial"/>
                <w:color w:val="010000"/>
                <w:sz w:val="20"/>
              </w:rPr>
              <w:t>31,035,363,276</w:t>
            </w:r>
          </w:p>
        </w:tc>
        <w:tc>
          <w:tcPr>
            <w:tcW w:w="1297" w:type="dxa"/>
            <w:shd w:val="clear" w:color="auto" w:fill="auto"/>
            <w:tcMar>
              <w:top w:w="0" w:type="dxa"/>
              <w:bottom w:w="0" w:type="dxa"/>
            </w:tcMar>
            <w:vAlign w:val="center"/>
          </w:tcPr>
          <w:p w14:paraId="7CA5031D" w14:textId="77777777" w:rsidR="00510E34" w:rsidRDefault="002455ED">
            <w:pPr>
              <w:pBdr>
                <w:top w:val="nil"/>
                <w:left w:val="nil"/>
                <w:bottom w:val="nil"/>
                <w:right w:val="nil"/>
                <w:between w:val="nil"/>
              </w:pBdr>
              <w:spacing w:after="120" w:line="360" w:lineRule="auto"/>
              <w:ind w:right="16"/>
              <w:jc w:val="right"/>
              <w:rPr>
                <w:rFonts w:ascii="Arial" w:eastAsia="Arial" w:hAnsi="Arial" w:cs="Arial"/>
                <w:color w:val="010000"/>
                <w:sz w:val="20"/>
                <w:szCs w:val="20"/>
              </w:rPr>
            </w:pPr>
            <w:r>
              <w:rPr>
                <w:rFonts w:ascii="Arial" w:hAnsi="Arial"/>
                <w:color w:val="010000"/>
                <w:sz w:val="20"/>
              </w:rPr>
              <w:t>-76%</w:t>
            </w:r>
          </w:p>
        </w:tc>
      </w:tr>
      <w:tr w:rsidR="00510E34" w14:paraId="27F062F5" w14:textId="77777777">
        <w:tc>
          <w:tcPr>
            <w:tcW w:w="527" w:type="dxa"/>
            <w:shd w:val="clear" w:color="auto" w:fill="auto"/>
            <w:tcMar>
              <w:top w:w="0" w:type="dxa"/>
              <w:bottom w:w="0" w:type="dxa"/>
            </w:tcMar>
            <w:vAlign w:val="center"/>
          </w:tcPr>
          <w:p w14:paraId="728B8920"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4</w:t>
            </w:r>
          </w:p>
        </w:tc>
        <w:tc>
          <w:tcPr>
            <w:tcW w:w="3704" w:type="dxa"/>
            <w:shd w:val="clear" w:color="auto" w:fill="auto"/>
            <w:tcMar>
              <w:top w:w="0" w:type="dxa"/>
              <w:bottom w:w="0" w:type="dxa"/>
            </w:tcMar>
            <w:vAlign w:val="center"/>
          </w:tcPr>
          <w:p w14:paraId="6E187ADF" w14:textId="77777777" w:rsidR="00510E34" w:rsidRDefault="002455ED">
            <w:pPr>
              <w:pBdr>
                <w:top w:val="nil"/>
                <w:left w:val="nil"/>
                <w:bottom w:val="nil"/>
                <w:right w:val="nil"/>
                <w:between w:val="nil"/>
              </w:pBdr>
              <w:spacing w:after="120" w:line="360" w:lineRule="auto"/>
              <w:ind w:left="27"/>
              <w:rPr>
                <w:rFonts w:ascii="Arial" w:eastAsia="Arial" w:hAnsi="Arial" w:cs="Arial"/>
                <w:color w:val="010000"/>
                <w:sz w:val="20"/>
                <w:szCs w:val="20"/>
              </w:rPr>
            </w:pPr>
            <w:r>
              <w:rPr>
                <w:rFonts w:ascii="Arial" w:hAnsi="Arial"/>
                <w:color w:val="010000"/>
                <w:sz w:val="20"/>
              </w:rPr>
              <w:t>Net profit from business activities</w:t>
            </w:r>
          </w:p>
        </w:tc>
        <w:tc>
          <w:tcPr>
            <w:tcW w:w="1740" w:type="dxa"/>
            <w:shd w:val="clear" w:color="auto" w:fill="auto"/>
            <w:tcMar>
              <w:top w:w="0" w:type="dxa"/>
              <w:bottom w:w="0" w:type="dxa"/>
            </w:tcMar>
            <w:vAlign w:val="center"/>
          </w:tcPr>
          <w:p w14:paraId="3C2EACBB" w14:textId="77777777" w:rsidR="00510E34" w:rsidRDefault="002455ED">
            <w:pPr>
              <w:pBdr>
                <w:top w:val="nil"/>
                <w:left w:val="nil"/>
                <w:bottom w:val="nil"/>
                <w:right w:val="nil"/>
                <w:between w:val="nil"/>
              </w:pBdr>
              <w:spacing w:after="120" w:line="360" w:lineRule="auto"/>
              <w:ind w:right="16"/>
              <w:jc w:val="right"/>
              <w:rPr>
                <w:rFonts w:ascii="Arial" w:eastAsia="Arial" w:hAnsi="Arial" w:cs="Arial"/>
                <w:color w:val="010000"/>
                <w:sz w:val="20"/>
                <w:szCs w:val="20"/>
              </w:rPr>
            </w:pPr>
            <w:r>
              <w:rPr>
                <w:rFonts w:ascii="Arial" w:hAnsi="Arial"/>
                <w:color w:val="010000"/>
                <w:sz w:val="20"/>
              </w:rPr>
              <w:t>(7,531,393,770)</w:t>
            </w:r>
          </w:p>
        </w:tc>
        <w:tc>
          <w:tcPr>
            <w:tcW w:w="1749" w:type="dxa"/>
            <w:shd w:val="clear" w:color="auto" w:fill="auto"/>
            <w:tcMar>
              <w:top w:w="0" w:type="dxa"/>
              <w:bottom w:w="0" w:type="dxa"/>
            </w:tcMar>
            <w:vAlign w:val="center"/>
          </w:tcPr>
          <w:p w14:paraId="65A5552D" w14:textId="77777777" w:rsidR="00510E34" w:rsidRDefault="002455ED">
            <w:pPr>
              <w:pBdr>
                <w:top w:val="nil"/>
                <w:left w:val="nil"/>
                <w:bottom w:val="nil"/>
                <w:right w:val="nil"/>
                <w:between w:val="nil"/>
              </w:pBdr>
              <w:spacing w:after="120" w:line="360" w:lineRule="auto"/>
              <w:ind w:right="16"/>
              <w:jc w:val="right"/>
              <w:rPr>
                <w:rFonts w:ascii="Arial" w:eastAsia="Arial" w:hAnsi="Arial" w:cs="Arial"/>
                <w:color w:val="010000"/>
                <w:sz w:val="20"/>
                <w:szCs w:val="20"/>
              </w:rPr>
            </w:pPr>
            <w:r>
              <w:rPr>
                <w:rFonts w:ascii="Arial" w:hAnsi="Arial"/>
                <w:color w:val="010000"/>
                <w:sz w:val="20"/>
              </w:rPr>
              <w:t>(53,893,607,362)</w:t>
            </w:r>
          </w:p>
        </w:tc>
        <w:tc>
          <w:tcPr>
            <w:tcW w:w="1297" w:type="dxa"/>
            <w:shd w:val="clear" w:color="auto" w:fill="auto"/>
            <w:tcMar>
              <w:top w:w="0" w:type="dxa"/>
              <w:bottom w:w="0" w:type="dxa"/>
            </w:tcMar>
            <w:vAlign w:val="center"/>
          </w:tcPr>
          <w:p w14:paraId="12C197FC" w14:textId="77777777" w:rsidR="00510E34" w:rsidRDefault="002455ED">
            <w:pPr>
              <w:pBdr>
                <w:top w:val="nil"/>
                <w:left w:val="nil"/>
                <w:bottom w:val="nil"/>
                <w:right w:val="nil"/>
                <w:between w:val="nil"/>
              </w:pBdr>
              <w:spacing w:after="120" w:line="360" w:lineRule="auto"/>
              <w:ind w:right="16"/>
              <w:jc w:val="right"/>
              <w:rPr>
                <w:rFonts w:ascii="Arial" w:eastAsia="Arial" w:hAnsi="Arial" w:cs="Arial"/>
                <w:color w:val="010000"/>
                <w:sz w:val="20"/>
                <w:szCs w:val="20"/>
              </w:rPr>
            </w:pPr>
            <w:r>
              <w:rPr>
                <w:rFonts w:ascii="Arial" w:hAnsi="Arial"/>
                <w:color w:val="010000"/>
                <w:sz w:val="20"/>
              </w:rPr>
              <w:t>616%</w:t>
            </w:r>
          </w:p>
        </w:tc>
      </w:tr>
      <w:tr w:rsidR="00510E34" w14:paraId="625F8DBD" w14:textId="77777777">
        <w:tc>
          <w:tcPr>
            <w:tcW w:w="527" w:type="dxa"/>
            <w:shd w:val="clear" w:color="auto" w:fill="auto"/>
            <w:tcMar>
              <w:top w:w="0" w:type="dxa"/>
              <w:bottom w:w="0" w:type="dxa"/>
            </w:tcMar>
            <w:vAlign w:val="center"/>
          </w:tcPr>
          <w:p w14:paraId="4C1124A0"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5</w:t>
            </w:r>
          </w:p>
        </w:tc>
        <w:tc>
          <w:tcPr>
            <w:tcW w:w="3704" w:type="dxa"/>
            <w:shd w:val="clear" w:color="auto" w:fill="auto"/>
            <w:tcMar>
              <w:top w:w="0" w:type="dxa"/>
              <w:bottom w:w="0" w:type="dxa"/>
            </w:tcMar>
            <w:vAlign w:val="center"/>
          </w:tcPr>
          <w:p w14:paraId="48B6DCE0" w14:textId="77777777" w:rsidR="00510E34" w:rsidRDefault="002455ED">
            <w:pPr>
              <w:pBdr>
                <w:top w:val="nil"/>
                <w:left w:val="nil"/>
                <w:bottom w:val="nil"/>
                <w:right w:val="nil"/>
                <w:between w:val="nil"/>
              </w:pBdr>
              <w:spacing w:after="120" w:line="360" w:lineRule="auto"/>
              <w:ind w:left="27"/>
              <w:rPr>
                <w:rFonts w:ascii="Arial" w:eastAsia="Arial" w:hAnsi="Arial" w:cs="Arial"/>
                <w:color w:val="010000"/>
                <w:sz w:val="20"/>
                <w:szCs w:val="20"/>
              </w:rPr>
            </w:pPr>
            <w:r>
              <w:rPr>
                <w:rFonts w:ascii="Arial" w:hAnsi="Arial"/>
                <w:color w:val="010000"/>
                <w:sz w:val="20"/>
              </w:rPr>
              <w:t>Other losses</w:t>
            </w:r>
          </w:p>
        </w:tc>
        <w:tc>
          <w:tcPr>
            <w:tcW w:w="1740" w:type="dxa"/>
            <w:shd w:val="clear" w:color="auto" w:fill="auto"/>
            <w:tcMar>
              <w:top w:w="0" w:type="dxa"/>
              <w:bottom w:w="0" w:type="dxa"/>
            </w:tcMar>
            <w:vAlign w:val="center"/>
          </w:tcPr>
          <w:p w14:paraId="2A44538B" w14:textId="77777777" w:rsidR="00510E34" w:rsidRDefault="002455ED">
            <w:pPr>
              <w:pBdr>
                <w:top w:val="nil"/>
                <w:left w:val="nil"/>
                <w:bottom w:val="nil"/>
                <w:right w:val="nil"/>
                <w:between w:val="nil"/>
              </w:pBdr>
              <w:spacing w:after="120" w:line="360" w:lineRule="auto"/>
              <w:ind w:right="16"/>
              <w:jc w:val="right"/>
              <w:rPr>
                <w:rFonts w:ascii="Arial" w:eastAsia="Arial" w:hAnsi="Arial" w:cs="Arial"/>
                <w:color w:val="010000"/>
                <w:sz w:val="20"/>
                <w:szCs w:val="20"/>
              </w:rPr>
            </w:pPr>
            <w:r>
              <w:rPr>
                <w:rFonts w:ascii="Arial" w:hAnsi="Arial"/>
                <w:color w:val="010000"/>
                <w:sz w:val="20"/>
              </w:rPr>
              <w:t>(4,863,235,542)</w:t>
            </w:r>
          </w:p>
        </w:tc>
        <w:tc>
          <w:tcPr>
            <w:tcW w:w="1749" w:type="dxa"/>
            <w:shd w:val="clear" w:color="auto" w:fill="auto"/>
            <w:tcMar>
              <w:top w:w="0" w:type="dxa"/>
              <w:bottom w:w="0" w:type="dxa"/>
            </w:tcMar>
            <w:vAlign w:val="center"/>
          </w:tcPr>
          <w:p w14:paraId="1A45D0FE" w14:textId="77777777" w:rsidR="00510E34" w:rsidRDefault="002455ED">
            <w:pPr>
              <w:pBdr>
                <w:top w:val="nil"/>
                <w:left w:val="nil"/>
                <w:bottom w:val="nil"/>
                <w:right w:val="nil"/>
                <w:between w:val="nil"/>
              </w:pBdr>
              <w:spacing w:after="120" w:line="360" w:lineRule="auto"/>
              <w:ind w:right="16"/>
              <w:jc w:val="right"/>
              <w:rPr>
                <w:rFonts w:ascii="Arial" w:eastAsia="Arial" w:hAnsi="Arial" w:cs="Arial"/>
                <w:color w:val="010000"/>
                <w:sz w:val="20"/>
                <w:szCs w:val="20"/>
              </w:rPr>
            </w:pPr>
            <w:r>
              <w:rPr>
                <w:rFonts w:ascii="Arial" w:hAnsi="Arial"/>
                <w:color w:val="010000"/>
                <w:sz w:val="20"/>
              </w:rPr>
              <w:t>(6,278,841,262)</w:t>
            </w:r>
          </w:p>
        </w:tc>
        <w:tc>
          <w:tcPr>
            <w:tcW w:w="1297" w:type="dxa"/>
            <w:shd w:val="clear" w:color="auto" w:fill="auto"/>
            <w:tcMar>
              <w:top w:w="0" w:type="dxa"/>
              <w:bottom w:w="0" w:type="dxa"/>
            </w:tcMar>
            <w:vAlign w:val="center"/>
          </w:tcPr>
          <w:p w14:paraId="036F5D6B" w14:textId="77777777" w:rsidR="00510E34" w:rsidRDefault="002455ED">
            <w:pPr>
              <w:pBdr>
                <w:top w:val="nil"/>
                <w:left w:val="nil"/>
                <w:bottom w:val="nil"/>
                <w:right w:val="nil"/>
                <w:between w:val="nil"/>
              </w:pBdr>
              <w:spacing w:after="120" w:line="360" w:lineRule="auto"/>
              <w:ind w:right="16"/>
              <w:jc w:val="right"/>
              <w:rPr>
                <w:rFonts w:ascii="Arial" w:eastAsia="Arial" w:hAnsi="Arial" w:cs="Arial"/>
                <w:color w:val="010000"/>
                <w:sz w:val="20"/>
                <w:szCs w:val="20"/>
              </w:rPr>
            </w:pPr>
            <w:r>
              <w:rPr>
                <w:rFonts w:ascii="Arial" w:hAnsi="Arial"/>
                <w:color w:val="010000"/>
                <w:sz w:val="20"/>
              </w:rPr>
              <w:t>29%</w:t>
            </w:r>
          </w:p>
        </w:tc>
      </w:tr>
      <w:tr w:rsidR="00510E34" w14:paraId="6FD06F62" w14:textId="77777777">
        <w:tc>
          <w:tcPr>
            <w:tcW w:w="527" w:type="dxa"/>
            <w:shd w:val="clear" w:color="auto" w:fill="auto"/>
            <w:tcMar>
              <w:top w:w="0" w:type="dxa"/>
              <w:bottom w:w="0" w:type="dxa"/>
            </w:tcMar>
            <w:vAlign w:val="center"/>
          </w:tcPr>
          <w:p w14:paraId="06CD6A86"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6</w:t>
            </w:r>
          </w:p>
        </w:tc>
        <w:tc>
          <w:tcPr>
            <w:tcW w:w="3704" w:type="dxa"/>
            <w:shd w:val="clear" w:color="auto" w:fill="auto"/>
            <w:tcMar>
              <w:top w:w="0" w:type="dxa"/>
              <w:bottom w:w="0" w:type="dxa"/>
            </w:tcMar>
            <w:vAlign w:val="center"/>
          </w:tcPr>
          <w:p w14:paraId="117C4883" w14:textId="77777777" w:rsidR="00510E34" w:rsidRDefault="002455ED">
            <w:pPr>
              <w:pBdr>
                <w:top w:val="nil"/>
                <w:left w:val="nil"/>
                <w:bottom w:val="nil"/>
                <w:right w:val="nil"/>
                <w:between w:val="nil"/>
              </w:pBdr>
              <w:spacing w:after="120" w:line="360" w:lineRule="auto"/>
              <w:ind w:left="27"/>
              <w:rPr>
                <w:rFonts w:ascii="Arial" w:eastAsia="Arial" w:hAnsi="Arial" w:cs="Arial"/>
                <w:color w:val="010000"/>
                <w:sz w:val="20"/>
                <w:szCs w:val="20"/>
              </w:rPr>
            </w:pPr>
            <w:r>
              <w:rPr>
                <w:rFonts w:ascii="Arial" w:hAnsi="Arial"/>
                <w:color w:val="010000"/>
                <w:sz w:val="20"/>
              </w:rPr>
              <w:t>Profit before tax</w:t>
            </w:r>
          </w:p>
        </w:tc>
        <w:tc>
          <w:tcPr>
            <w:tcW w:w="1740" w:type="dxa"/>
            <w:shd w:val="clear" w:color="auto" w:fill="auto"/>
            <w:tcMar>
              <w:top w:w="0" w:type="dxa"/>
              <w:bottom w:w="0" w:type="dxa"/>
            </w:tcMar>
            <w:vAlign w:val="center"/>
          </w:tcPr>
          <w:p w14:paraId="67F6750C" w14:textId="77777777" w:rsidR="00510E34" w:rsidRDefault="002455ED">
            <w:pPr>
              <w:pBdr>
                <w:top w:val="nil"/>
                <w:left w:val="nil"/>
                <w:bottom w:val="nil"/>
                <w:right w:val="nil"/>
                <w:between w:val="nil"/>
              </w:pBdr>
              <w:spacing w:after="120" w:line="360" w:lineRule="auto"/>
              <w:ind w:right="16"/>
              <w:jc w:val="right"/>
              <w:rPr>
                <w:rFonts w:ascii="Arial" w:eastAsia="Arial" w:hAnsi="Arial" w:cs="Arial"/>
                <w:color w:val="010000"/>
                <w:sz w:val="20"/>
                <w:szCs w:val="20"/>
              </w:rPr>
            </w:pPr>
            <w:r>
              <w:rPr>
                <w:rFonts w:ascii="Arial" w:hAnsi="Arial"/>
                <w:color w:val="010000"/>
                <w:sz w:val="20"/>
              </w:rPr>
              <w:t>(12,394,629,312)</w:t>
            </w:r>
          </w:p>
        </w:tc>
        <w:tc>
          <w:tcPr>
            <w:tcW w:w="1749" w:type="dxa"/>
            <w:shd w:val="clear" w:color="auto" w:fill="auto"/>
            <w:tcMar>
              <w:top w:w="0" w:type="dxa"/>
              <w:bottom w:w="0" w:type="dxa"/>
            </w:tcMar>
            <w:vAlign w:val="center"/>
          </w:tcPr>
          <w:p w14:paraId="74F534AF" w14:textId="77777777" w:rsidR="00510E34" w:rsidRDefault="002455ED">
            <w:pPr>
              <w:pBdr>
                <w:top w:val="nil"/>
                <w:left w:val="nil"/>
                <w:bottom w:val="nil"/>
                <w:right w:val="nil"/>
                <w:between w:val="nil"/>
              </w:pBdr>
              <w:spacing w:after="120" w:line="360" w:lineRule="auto"/>
              <w:ind w:right="16"/>
              <w:jc w:val="right"/>
              <w:rPr>
                <w:rFonts w:ascii="Arial" w:eastAsia="Arial" w:hAnsi="Arial" w:cs="Arial"/>
                <w:color w:val="010000"/>
                <w:sz w:val="20"/>
                <w:szCs w:val="20"/>
              </w:rPr>
            </w:pPr>
            <w:r>
              <w:rPr>
                <w:rFonts w:ascii="Arial" w:hAnsi="Arial"/>
                <w:color w:val="010000"/>
                <w:sz w:val="20"/>
              </w:rPr>
              <w:t>(60,172,448,624)</w:t>
            </w:r>
          </w:p>
        </w:tc>
        <w:tc>
          <w:tcPr>
            <w:tcW w:w="1297" w:type="dxa"/>
            <w:shd w:val="clear" w:color="auto" w:fill="auto"/>
            <w:tcMar>
              <w:top w:w="0" w:type="dxa"/>
              <w:bottom w:w="0" w:type="dxa"/>
            </w:tcMar>
            <w:vAlign w:val="center"/>
          </w:tcPr>
          <w:p w14:paraId="7DF309EB" w14:textId="77777777" w:rsidR="00510E34" w:rsidRDefault="002455ED">
            <w:pPr>
              <w:pBdr>
                <w:top w:val="nil"/>
                <w:left w:val="nil"/>
                <w:bottom w:val="nil"/>
                <w:right w:val="nil"/>
                <w:between w:val="nil"/>
              </w:pBdr>
              <w:spacing w:after="120" w:line="360" w:lineRule="auto"/>
              <w:ind w:right="16"/>
              <w:jc w:val="right"/>
              <w:rPr>
                <w:rFonts w:ascii="Arial" w:eastAsia="Arial" w:hAnsi="Arial" w:cs="Arial"/>
                <w:color w:val="010000"/>
                <w:sz w:val="20"/>
                <w:szCs w:val="20"/>
              </w:rPr>
            </w:pPr>
            <w:r>
              <w:rPr>
                <w:rFonts w:ascii="Arial" w:hAnsi="Arial"/>
                <w:color w:val="010000"/>
                <w:sz w:val="20"/>
              </w:rPr>
              <w:t>385%</w:t>
            </w:r>
          </w:p>
        </w:tc>
      </w:tr>
      <w:tr w:rsidR="00510E34" w14:paraId="0988A1B2" w14:textId="77777777">
        <w:tc>
          <w:tcPr>
            <w:tcW w:w="527" w:type="dxa"/>
            <w:shd w:val="clear" w:color="auto" w:fill="auto"/>
            <w:tcMar>
              <w:top w:w="0" w:type="dxa"/>
              <w:bottom w:w="0" w:type="dxa"/>
            </w:tcMar>
            <w:vAlign w:val="center"/>
          </w:tcPr>
          <w:p w14:paraId="2A4DFBEA"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7</w:t>
            </w:r>
          </w:p>
        </w:tc>
        <w:tc>
          <w:tcPr>
            <w:tcW w:w="3704" w:type="dxa"/>
            <w:shd w:val="clear" w:color="auto" w:fill="auto"/>
            <w:tcMar>
              <w:top w:w="0" w:type="dxa"/>
              <w:bottom w:w="0" w:type="dxa"/>
            </w:tcMar>
            <w:vAlign w:val="center"/>
          </w:tcPr>
          <w:p w14:paraId="0CC5F67C" w14:textId="77777777" w:rsidR="00510E34" w:rsidRDefault="002455ED">
            <w:pPr>
              <w:pBdr>
                <w:top w:val="nil"/>
                <w:left w:val="nil"/>
                <w:bottom w:val="nil"/>
                <w:right w:val="nil"/>
                <w:between w:val="nil"/>
              </w:pBdr>
              <w:spacing w:after="120" w:line="360" w:lineRule="auto"/>
              <w:ind w:left="27"/>
              <w:rPr>
                <w:rFonts w:ascii="Arial" w:eastAsia="Arial" w:hAnsi="Arial" w:cs="Arial"/>
                <w:color w:val="010000"/>
                <w:sz w:val="20"/>
                <w:szCs w:val="20"/>
              </w:rPr>
            </w:pPr>
            <w:r>
              <w:rPr>
                <w:rFonts w:ascii="Arial" w:hAnsi="Arial"/>
                <w:color w:val="010000"/>
                <w:sz w:val="20"/>
              </w:rPr>
              <w:t>Profit after tax</w:t>
            </w:r>
          </w:p>
        </w:tc>
        <w:tc>
          <w:tcPr>
            <w:tcW w:w="1740" w:type="dxa"/>
            <w:shd w:val="clear" w:color="auto" w:fill="auto"/>
            <w:tcMar>
              <w:top w:w="0" w:type="dxa"/>
              <w:bottom w:w="0" w:type="dxa"/>
            </w:tcMar>
            <w:vAlign w:val="center"/>
          </w:tcPr>
          <w:p w14:paraId="218DA88C" w14:textId="77777777" w:rsidR="00510E34" w:rsidRDefault="002455ED">
            <w:pPr>
              <w:pBdr>
                <w:top w:val="nil"/>
                <w:left w:val="nil"/>
                <w:bottom w:val="nil"/>
                <w:right w:val="nil"/>
                <w:between w:val="nil"/>
              </w:pBdr>
              <w:spacing w:after="120" w:line="360" w:lineRule="auto"/>
              <w:ind w:right="16"/>
              <w:jc w:val="right"/>
              <w:rPr>
                <w:rFonts w:ascii="Arial" w:eastAsia="Arial" w:hAnsi="Arial" w:cs="Arial"/>
                <w:color w:val="010000"/>
                <w:sz w:val="20"/>
                <w:szCs w:val="20"/>
              </w:rPr>
            </w:pPr>
            <w:r>
              <w:rPr>
                <w:rFonts w:ascii="Arial" w:hAnsi="Arial"/>
                <w:color w:val="010000"/>
                <w:sz w:val="20"/>
              </w:rPr>
              <w:t>(12,744,273,972)</w:t>
            </w:r>
          </w:p>
        </w:tc>
        <w:tc>
          <w:tcPr>
            <w:tcW w:w="1749" w:type="dxa"/>
            <w:shd w:val="clear" w:color="auto" w:fill="auto"/>
            <w:tcMar>
              <w:top w:w="0" w:type="dxa"/>
              <w:bottom w:w="0" w:type="dxa"/>
            </w:tcMar>
            <w:vAlign w:val="center"/>
          </w:tcPr>
          <w:p w14:paraId="5287D0DC" w14:textId="77777777" w:rsidR="00510E34" w:rsidRDefault="002455ED">
            <w:pPr>
              <w:pBdr>
                <w:top w:val="nil"/>
                <w:left w:val="nil"/>
                <w:bottom w:val="nil"/>
                <w:right w:val="nil"/>
                <w:between w:val="nil"/>
              </w:pBdr>
              <w:spacing w:after="120" w:line="360" w:lineRule="auto"/>
              <w:ind w:right="16"/>
              <w:jc w:val="right"/>
              <w:rPr>
                <w:rFonts w:ascii="Arial" w:eastAsia="Arial" w:hAnsi="Arial" w:cs="Arial"/>
                <w:color w:val="010000"/>
                <w:sz w:val="20"/>
                <w:szCs w:val="20"/>
              </w:rPr>
            </w:pPr>
            <w:r>
              <w:rPr>
                <w:rFonts w:ascii="Arial" w:hAnsi="Arial"/>
                <w:color w:val="010000"/>
                <w:sz w:val="20"/>
              </w:rPr>
              <w:t>(62,744,062,684)</w:t>
            </w:r>
          </w:p>
        </w:tc>
        <w:tc>
          <w:tcPr>
            <w:tcW w:w="1297" w:type="dxa"/>
            <w:shd w:val="clear" w:color="auto" w:fill="auto"/>
            <w:tcMar>
              <w:top w:w="0" w:type="dxa"/>
              <w:bottom w:w="0" w:type="dxa"/>
            </w:tcMar>
            <w:vAlign w:val="center"/>
          </w:tcPr>
          <w:p w14:paraId="3F646522" w14:textId="77777777" w:rsidR="00510E34" w:rsidRDefault="002455ED">
            <w:pPr>
              <w:pBdr>
                <w:top w:val="nil"/>
                <w:left w:val="nil"/>
                <w:bottom w:val="nil"/>
                <w:right w:val="nil"/>
                <w:between w:val="nil"/>
              </w:pBdr>
              <w:spacing w:after="120" w:line="360" w:lineRule="auto"/>
              <w:ind w:right="16"/>
              <w:jc w:val="right"/>
              <w:rPr>
                <w:rFonts w:ascii="Arial" w:eastAsia="Arial" w:hAnsi="Arial" w:cs="Arial"/>
                <w:color w:val="010000"/>
                <w:sz w:val="20"/>
                <w:szCs w:val="20"/>
              </w:rPr>
            </w:pPr>
            <w:r>
              <w:rPr>
                <w:rFonts w:ascii="Arial" w:hAnsi="Arial"/>
                <w:color w:val="010000"/>
                <w:sz w:val="20"/>
              </w:rPr>
              <w:t>392%</w:t>
            </w:r>
          </w:p>
        </w:tc>
      </w:tr>
      <w:tr w:rsidR="00510E34" w14:paraId="5598C517" w14:textId="77777777">
        <w:tc>
          <w:tcPr>
            <w:tcW w:w="527" w:type="dxa"/>
            <w:shd w:val="clear" w:color="auto" w:fill="auto"/>
            <w:tcMar>
              <w:top w:w="0" w:type="dxa"/>
              <w:bottom w:w="0" w:type="dxa"/>
            </w:tcMar>
            <w:vAlign w:val="center"/>
          </w:tcPr>
          <w:p w14:paraId="59AFE30F"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8</w:t>
            </w:r>
          </w:p>
        </w:tc>
        <w:tc>
          <w:tcPr>
            <w:tcW w:w="3704" w:type="dxa"/>
            <w:shd w:val="clear" w:color="auto" w:fill="auto"/>
            <w:tcMar>
              <w:top w:w="0" w:type="dxa"/>
              <w:bottom w:w="0" w:type="dxa"/>
            </w:tcMar>
            <w:vAlign w:val="center"/>
          </w:tcPr>
          <w:p w14:paraId="4BA69588" w14:textId="77777777" w:rsidR="00510E34" w:rsidRDefault="002455ED">
            <w:pPr>
              <w:pBdr>
                <w:top w:val="nil"/>
                <w:left w:val="nil"/>
                <w:bottom w:val="nil"/>
                <w:right w:val="nil"/>
                <w:between w:val="nil"/>
              </w:pBdr>
              <w:spacing w:after="120" w:line="360" w:lineRule="auto"/>
              <w:ind w:left="27"/>
              <w:rPr>
                <w:rFonts w:ascii="Arial" w:eastAsia="Arial" w:hAnsi="Arial" w:cs="Arial"/>
                <w:color w:val="010000"/>
                <w:sz w:val="20"/>
                <w:szCs w:val="20"/>
              </w:rPr>
            </w:pPr>
            <w:r>
              <w:rPr>
                <w:rFonts w:ascii="Arial" w:hAnsi="Arial"/>
                <w:color w:val="010000"/>
                <w:sz w:val="20"/>
              </w:rPr>
              <w:t xml:space="preserve">Basic </w:t>
            </w:r>
            <w:proofErr w:type="spellStart"/>
            <w:r>
              <w:rPr>
                <w:rFonts w:ascii="Arial" w:hAnsi="Arial"/>
                <w:color w:val="010000"/>
                <w:sz w:val="20"/>
              </w:rPr>
              <w:t>earning</w:t>
            </w:r>
            <w:proofErr w:type="spellEnd"/>
            <w:r>
              <w:rPr>
                <w:rFonts w:ascii="Arial" w:hAnsi="Arial"/>
                <w:color w:val="010000"/>
                <w:sz w:val="20"/>
              </w:rPr>
              <w:t xml:space="preserve"> per share</w:t>
            </w:r>
          </w:p>
        </w:tc>
        <w:tc>
          <w:tcPr>
            <w:tcW w:w="1740" w:type="dxa"/>
            <w:shd w:val="clear" w:color="auto" w:fill="auto"/>
            <w:tcMar>
              <w:top w:w="0" w:type="dxa"/>
              <w:bottom w:w="0" w:type="dxa"/>
            </w:tcMar>
            <w:vAlign w:val="center"/>
          </w:tcPr>
          <w:p w14:paraId="50C36F80" w14:textId="77777777" w:rsidR="00510E34" w:rsidRDefault="002455ED">
            <w:pPr>
              <w:pBdr>
                <w:top w:val="nil"/>
                <w:left w:val="nil"/>
                <w:bottom w:val="nil"/>
                <w:right w:val="nil"/>
                <w:between w:val="nil"/>
              </w:pBdr>
              <w:spacing w:after="120" w:line="360" w:lineRule="auto"/>
              <w:ind w:right="16"/>
              <w:jc w:val="right"/>
              <w:rPr>
                <w:rFonts w:ascii="Arial" w:eastAsia="Arial" w:hAnsi="Arial" w:cs="Arial"/>
                <w:color w:val="010000"/>
                <w:sz w:val="20"/>
                <w:szCs w:val="20"/>
              </w:rPr>
            </w:pPr>
            <w:r>
              <w:rPr>
                <w:rFonts w:ascii="Arial" w:hAnsi="Arial"/>
                <w:color w:val="010000"/>
                <w:sz w:val="20"/>
              </w:rPr>
              <w:t>(1,722)</w:t>
            </w:r>
          </w:p>
        </w:tc>
        <w:tc>
          <w:tcPr>
            <w:tcW w:w="1749" w:type="dxa"/>
            <w:shd w:val="clear" w:color="auto" w:fill="auto"/>
            <w:tcMar>
              <w:top w:w="0" w:type="dxa"/>
              <w:bottom w:w="0" w:type="dxa"/>
            </w:tcMar>
            <w:vAlign w:val="center"/>
          </w:tcPr>
          <w:p w14:paraId="74996D52" w14:textId="77777777" w:rsidR="00510E34" w:rsidRDefault="002455ED">
            <w:pPr>
              <w:pBdr>
                <w:top w:val="nil"/>
                <w:left w:val="nil"/>
                <w:bottom w:val="nil"/>
                <w:right w:val="nil"/>
                <w:between w:val="nil"/>
              </w:pBdr>
              <w:spacing w:after="120" w:line="360" w:lineRule="auto"/>
              <w:ind w:right="16"/>
              <w:jc w:val="right"/>
              <w:rPr>
                <w:rFonts w:ascii="Arial" w:eastAsia="Arial" w:hAnsi="Arial" w:cs="Arial"/>
                <w:color w:val="010000"/>
                <w:sz w:val="20"/>
                <w:szCs w:val="20"/>
              </w:rPr>
            </w:pPr>
            <w:r>
              <w:rPr>
                <w:rFonts w:ascii="Arial" w:hAnsi="Arial"/>
                <w:color w:val="010000"/>
                <w:sz w:val="20"/>
              </w:rPr>
              <w:t>(8,479)</w:t>
            </w:r>
          </w:p>
        </w:tc>
        <w:tc>
          <w:tcPr>
            <w:tcW w:w="1297" w:type="dxa"/>
            <w:shd w:val="clear" w:color="auto" w:fill="auto"/>
            <w:tcMar>
              <w:top w:w="0" w:type="dxa"/>
              <w:bottom w:w="0" w:type="dxa"/>
            </w:tcMar>
            <w:vAlign w:val="center"/>
          </w:tcPr>
          <w:p w14:paraId="3D03CB3D" w14:textId="77777777" w:rsidR="00510E34" w:rsidRDefault="002455ED">
            <w:pPr>
              <w:pBdr>
                <w:top w:val="nil"/>
                <w:left w:val="nil"/>
                <w:bottom w:val="nil"/>
                <w:right w:val="nil"/>
                <w:between w:val="nil"/>
              </w:pBdr>
              <w:spacing w:after="120" w:line="360" w:lineRule="auto"/>
              <w:ind w:right="16"/>
              <w:jc w:val="right"/>
              <w:rPr>
                <w:rFonts w:ascii="Arial" w:eastAsia="Arial" w:hAnsi="Arial" w:cs="Arial"/>
                <w:color w:val="010000"/>
                <w:sz w:val="20"/>
                <w:szCs w:val="20"/>
              </w:rPr>
            </w:pPr>
            <w:r>
              <w:rPr>
                <w:rFonts w:ascii="Arial" w:hAnsi="Arial"/>
                <w:color w:val="010000"/>
                <w:sz w:val="20"/>
              </w:rPr>
              <w:t>392%</w:t>
            </w:r>
          </w:p>
        </w:tc>
      </w:tr>
    </w:tbl>
    <w:p w14:paraId="1E3B53DB" w14:textId="77777777" w:rsidR="00510E34" w:rsidRDefault="002455ED" w:rsidP="00C70E19">
      <w:pPr>
        <w:spacing w:after="120" w:line="360" w:lineRule="auto"/>
        <w:jc w:val="both"/>
        <w:rPr>
          <w:rFonts w:ascii="Arial" w:eastAsia="Arial" w:hAnsi="Arial" w:cs="Arial"/>
          <w:color w:val="010000"/>
          <w:sz w:val="20"/>
          <w:szCs w:val="20"/>
        </w:rPr>
      </w:pPr>
      <w:r>
        <w:rPr>
          <w:rFonts w:ascii="Arial" w:hAnsi="Arial"/>
          <w:color w:val="010000"/>
          <w:sz w:val="20"/>
        </w:rPr>
        <w:t>II. Production and business plan in 2024</w:t>
      </w:r>
    </w:p>
    <w:p w14:paraId="650CB001" w14:textId="77777777" w:rsidR="00510E34" w:rsidRDefault="002455ED" w:rsidP="00C70E19">
      <w:pPr>
        <w:spacing w:after="120" w:line="360" w:lineRule="auto"/>
        <w:jc w:val="both"/>
        <w:rPr>
          <w:rFonts w:ascii="Arial" w:eastAsia="Arial" w:hAnsi="Arial" w:cs="Arial"/>
          <w:color w:val="010000"/>
          <w:sz w:val="20"/>
          <w:szCs w:val="20"/>
        </w:rPr>
      </w:pPr>
      <w:r>
        <w:rPr>
          <w:rFonts w:ascii="Arial" w:hAnsi="Arial"/>
          <w:color w:val="010000"/>
          <w:sz w:val="20"/>
        </w:rPr>
        <w:t>Total revenue and income: VND 56,633 million</w:t>
      </w:r>
    </w:p>
    <w:p w14:paraId="32C90017" w14:textId="77777777" w:rsidR="00510E34" w:rsidRDefault="002455ED" w:rsidP="00C70E19">
      <w:pPr>
        <w:spacing w:after="120" w:line="360" w:lineRule="auto"/>
        <w:jc w:val="both"/>
        <w:rPr>
          <w:rFonts w:ascii="Arial" w:eastAsia="Arial" w:hAnsi="Arial" w:cs="Arial"/>
          <w:color w:val="010000"/>
          <w:sz w:val="20"/>
          <w:szCs w:val="20"/>
        </w:rPr>
      </w:pPr>
      <w:r>
        <w:rPr>
          <w:rFonts w:ascii="Arial" w:hAnsi="Arial"/>
          <w:color w:val="010000"/>
          <w:sz w:val="20"/>
        </w:rPr>
        <w:t>Total expenses: VND 97,431 million</w:t>
      </w:r>
    </w:p>
    <w:p w14:paraId="64153125" w14:textId="77777777" w:rsidR="00510E34" w:rsidRDefault="002455ED" w:rsidP="00C70E19">
      <w:pPr>
        <w:spacing w:after="120" w:line="360" w:lineRule="auto"/>
        <w:jc w:val="both"/>
        <w:rPr>
          <w:rFonts w:ascii="Arial" w:eastAsia="Arial" w:hAnsi="Arial" w:cs="Arial"/>
          <w:color w:val="010000"/>
          <w:sz w:val="20"/>
          <w:szCs w:val="20"/>
        </w:rPr>
      </w:pPr>
      <w:r>
        <w:rPr>
          <w:rFonts w:ascii="Arial" w:hAnsi="Arial"/>
          <w:color w:val="010000"/>
          <w:sz w:val="20"/>
        </w:rPr>
        <w:t>Profit after tax: VND 40,799 million</w:t>
      </w:r>
    </w:p>
    <w:p w14:paraId="1C0B3A86" w14:textId="4A02F475" w:rsidR="00510E34" w:rsidRDefault="002455ED" w:rsidP="00C70E1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3. Approve Report No. 0</w:t>
      </w:r>
      <w:r w:rsidR="00C70E19">
        <w:rPr>
          <w:rFonts w:ascii="Arial" w:hAnsi="Arial"/>
          <w:color w:val="010000"/>
          <w:sz w:val="20"/>
        </w:rPr>
        <w:t>1/BC-UBKT dated April 4, 2024 by</w:t>
      </w:r>
      <w:r>
        <w:rPr>
          <w:rFonts w:ascii="Arial" w:hAnsi="Arial"/>
          <w:color w:val="010000"/>
          <w:sz w:val="20"/>
        </w:rPr>
        <w:t xml:space="preserve"> independent members of the Board of Directors in the Audit Committee (fiscal year 2023).</w:t>
      </w:r>
    </w:p>
    <w:p w14:paraId="75D0F799" w14:textId="0809F4FF" w:rsidR="00510E34" w:rsidRDefault="002455ED" w:rsidP="00C70E1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4. Approve the audited Financial Statements 2023 attached to Proposal No. 21/</w:t>
      </w:r>
      <w:proofErr w:type="spellStart"/>
      <w:r>
        <w:rPr>
          <w:rFonts w:ascii="Arial" w:hAnsi="Arial"/>
          <w:color w:val="010000"/>
          <w:sz w:val="20"/>
        </w:rPr>
        <w:t>TTr</w:t>
      </w:r>
      <w:proofErr w:type="spellEnd"/>
      <w:r>
        <w:rPr>
          <w:rFonts w:ascii="Arial" w:hAnsi="Arial"/>
          <w:color w:val="010000"/>
          <w:sz w:val="20"/>
        </w:rPr>
        <w:t>-HDQT dated</w:t>
      </w:r>
      <w:r w:rsidR="00C70E19">
        <w:rPr>
          <w:rFonts w:ascii="Arial" w:hAnsi="Arial"/>
          <w:color w:val="010000"/>
          <w:sz w:val="20"/>
        </w:rPr>
        <w:t xml:space="preserve"> April 4, 2024 by</w:t>
      </w:r>
      <w:r>
        <w:rPr>
          <w:rFonts w:ascii="Arial" w:hAnsi="Arial"/>
          <w:color w:val="010000"/>
          <w:sz w:val="20"/>
        </w:rPr>
        <w:t xml:space="preserve"> the Board of Directors.</w:t>
      </w:r>
    </w:p>
    <w:p w14:paraId="6CB7AF60" w14:textId="77777777" w:rsidR="00510E34" w:rsidRDefault="002455ED" w:rsidP="00C70E1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5. Approve Proposal No. 22/</w:t>
      </w:r>
      <w:proofErr w:type="spellStart"/>
      <w:r>
        <w:rPr>
          <w:rFonts w:ascii="Arial" w:hAnsi="Arial"/>
          <w:color w:val="010000"/>
          <w:sz w:val="20"/>
        </w:rPr>
        <w:t>TTr</w:t>
      </w:r>
      <w:proofErr w:type="spellEnd"/>
      <w:r>
        <w:rPr>
          <w:rFonts w:ascii="Arial" w:hAnsi="Arial"/>
          <w:color w:val="010000"/>
          <w:sz w:val="20"/>
        </w:rPr>
        <w:t>-HDQT dated April 4, 2024 of the Board of Directors on profit distribution in 2023.</w:t>
      </w:r>
    </w:p>
    <w:p w14:paraId="5DCFED62" w14:textId="3E92A0C8" w:rsidR="00510E34" w:rsidRDefault="002455ED" w:rsidP="00C70E1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The Board of</w:t>
      </w:r>
      <w:r w:rsidR="00C70E19">
        <w:rPr>
          <w:rFonts w:ascii="Arial" w:hAnsi="Arial"/>
          <w:color w:val="010000"/>
          <w:sz w:val="20"/>
        </w:rPr>
        <w:t xml:space="preserve"> Directors would like to submit</w:t>
      </w:r>
      <w:r>
        <w:rPr>
          <w:rFonts w:ascii="Arial" w:hAnsi="Arial"/>
          <w:color w:val="010000"/>
          <w:sz w:val="20"/>
        </w:rPr>
        <w:t xml:space="preserve"> to the General Meeting the Company's profit distribution in 2023, specifically as follows:</w:t>
      </w:r>
    </w:p>
    <w:p w14:paraId="0CD2BE05" w14:textId="77777777" w:rsidR="00510E34" w:rsidRDefault="002455ED" w:rsidP="00C70E19">
      <w:pPr>
        <w:numPr>
          <w:ilvl w:val="0"/>
          <w:numId w:val="7"/>
        </w:numPr>
        <w:pBdr>
          <w:top w:val="nil"/>
          <w:left w:val="nil"/>
          <w:bottom w:val="nil"/>
          <w:right w:val="nil"/>
          <w:between w:val="nil"/>
        </w:pBdr>
        <w:tabs>
          <w:tab w:val="left" w:pos="673"/>
        </w:tabs>
        <w:spacing w:after="120" w:line="360" w:lineRule="auto"/>
        <w:ind w:firstLine="360"/>
        <w:jc w:val="both"/>
        <w:rPr>
          <w:rFonts w:ascii="Arial" w:eastAsia="Arial" w:hAnsi="Arial" w:cs="Arial"/>
          <w:color w:val="010000"/>
          <w:sz w:val="20"/>
          <w:szCs w:val="20"/>
        </w:rPr>
      </w:pPr>
      <w:bookmarkStart w:id="0" w:name="_heading=h.gjdgxs"/>
      <w:bookmarkEnd w:id="0"/>
      <w:r>
        <w:rPr>
          <w:rFonts w:ascii="Arial" w:hAnsi="Arial"/>
          <w:color w:val="010000"/>
          <w:sz w:val="20"/>
        </w:rPr>
        <w:t xml:space="preserve">Business result of </w:t>
      </w:r>
      <w:proofErr w:type="spellStart"/>
      <w:r>
        <w:rPr>
          <w:rFonts w:ascii="Arial" w:hAnsi="Arial"/>
          <w:color w:val="010000"/>
          <w:sz w:val="20"/>
        </w:rPr>
        <w:t>Legamex</w:t>
      </w:r>
      <w:proofErr w:type="spellEnd"/>
      <w:r>
        <w:rPr>
          <w:rFonts w:ascii="Arial" w:hAnsi="Arial"/>
          <w:color w:val="010000"/>
          <w:sz w:val="20"/>
        </w:rPr>
        <w:t xml:space="preserve"> in 2023.</w:t>
      </w:r>
    </w:p>
    <w:p w14:paraId="0BD06B22" w14:textId="77777777" w:rsidR="00510E34" w:rsidRDefault="002455ED" w:rsidP="00C70E19">
      <w:pPr>
        <w:numPr>
          <w:ilvl w:val="0"/>
          <w:numId w:val="8"/>
        </w:numPr>
        <w:pBdr>
          <w:top w:val="nil"/>
          <w:left w:val="nil"/>
          <w:bottom w:val="nil"/>
          <w:right w:val="nil"/>
          <w:between w:val="nil"/>
        </w:pBdr>
        <w:tabs>
          <w:tab w:val="left" w:pos="673"/>
          <w:tab w:val="right" w:pos="2154"/>
          <w:tab w:val="left" w:pos="2356"/>
          <w:tab w:val="left" w:pos="4912"/>
          <w:tab w:val="left" w:pos="5643"/>
          <w:tab w:val="right" w:pos="8826"/>
        </w:tabs>
        <w:spacing w:after="120" w:line="360" w:lineRule="auto"/>
        <w:ind w:firstLine="360"/>
        <w:jc w:val="both"/>
        <w:rPr>
          <w:rFonts w:ascii="Arial" w:eastAsia="Arial" w:hAnsi="Arial" w:cs="Arial"/>
          <w:color w:val="010000"/>
          <w:sz w:val="20"/>
          <w:szCs w:val="20"/>
        </w:rPr>
      </w:pPr>
      <w:r>
        <w:rPr>
          <w:rFonts w:ascii="Arial" w:hAnsi="Arial"/>
          <w:color w:val="010000"/>
          <w:sz w:val="20"/>
        </w:rPr>
        <w:t>Profit after tax as of December 31, 2022 (accumulated loss): VND (70,573,237,223)</w:t>
      </w:r>
    </w:p>
    <w:p w14:paraId="55AABC5C" w14:textId="77777777" w:rsidR="00510E34" w:rsidRDefault="002455ED" w:rsidP="00C70E19">
      <w:pPr>
        <w:numPr>
          <w:ilvl w:val="0"/>
          <w:numId w:val="8"/>
        </w:numPr>
        <w:pBdr>
          <w:top w:val="nil"/>
          <w:left w:val="nil"/>
          <w:bottom w:val="nil"/>
          <w:right w:val="nil"/>
          <w:between w:val="nil"/>
        </w:pBdr>
        <w:tabs>
          <w:tab w:val="left" w:pos="673"/>
          <w:tab w:val="right" w:pos="2154"/>
          <w:tab w:val="left" w:pos="2356"/>
          <w:tab w:val="right" w:pos="8826"/>
        </w:tabs>
        <w:spacing w:after="120" w:line="360" w:lineRule="auto"/>
        <w:ind w:firstLine="360"/>
        <w:jc w:val="both"/>
        <w:rPr>
          <w:rFonts w:ascii="Arial" w:eastAsia="Arial" w:hAnsi="Arial" w:cs="Arial"/>
          <w:color w:val="010000"/>
          <w:sz w:val="20"/>
          <w:szCs w:val="20"/>
        </w:rPr>
      </w:pPr>
      <w:r>
        <w:rPr>
          <w:rFonts w:ascii="Arial" w:hAnsi="Arial"/>
          <w:color w:val="010000"/>
          <w:sz w:val="20"/>
        </w:rPr>
        <w:lastRenderedPageBreak/>
        <w:t>Profit after tax in 2023: VND (62,744,062,684)</w:t>
      </w:r>
    </w:p>
    <w:p w14:paraId="1208FA6E" w14:textId="1A2EEF20" w:rsidR="00510E34" w:rsidRPr="00C70E19" w:rsidRDefault="002455ED" w:rsidP="00C70E19">
      <w:pPr>
        <w:numPr>
          <w:ilvl w:val="0"/>
          <w:numId w:val="8"/>
        </w:numPr>
        <w:pBdr>
          <w:top w:val="nil"/>
          <w:left w:val="nil"/>
          <w:bottom w:val="nil"/>
          <w:right w:val="nil"/>
          <w:between w:val="nil"/>
        </w:pBdr>
        <w:tabs>
          <w:tab w:val="left" w:pos="673"/>
          <w:tab w:val="right" w:pos="2154"/>
          <w:tab w:val="left" w:pos="2360"/>
          <w:tab w:val="left" w:pos="4916"/>
          <w:tab w:val="left" w:pos="5646"/>
          <w:tab w:val="right" w:pos="8826"/>
        </w:tabs>
        <w:spacing w:after="120" w:line="360" w:lineRule="auto"/>
        <w:ind w:firstLine="360"/>
        <w:jc w:val="both"/>
        <w:rPr>
          <w:rFonts w:ascii="Arial" w:eastAsia="Arial" w:hAnsi="Arial" w:cs="Arial"/>
          <w:color w:val="010000"/>
          <w:sz w:val="20"/>
          <w:szCs w:val="20"/>
        </w:rPr>
      </w:pPr>
      <w:r>
        <w:rPr>
          <w:rFonts w:ascii="Arial" w:hAnsi="Arial"/>
          <w:color w:val="010000"/>
          <w:sz w:val="20"/>
        </w:rPr>
        <w:t>Profit after tax as of December 31, 2023 (accumulated loss): VND (133,317,299,907)</w:t>
      </w:r>
    </w:p>
    <w:p w14:paraId="159869A2" w14:textId="18895B8B" w:rsidR="00C70E19" w:rsidRDefault="00C70E19" w:rsidP="00C70E19">
      <w:pPr>
        <w:pBdr>
          <w:top w:val="nil"/>
          <w:left w:val="nil"/>
          <w:bottom w:val="nil"/>
          <w:right w:val="nil"/>
          <w:between w:val="nil"/>
        </w:pBdr>
        <w:tabs>
          <w:tab w:val="left" w:pos="673"/>
          <w:tab w:val="right" w:pos="2154"/>
          <w:tab w:val="left" w:pos="2360"/>
          <w:tab w:val="left" w:pos="4916"/>
          <w:tab w:val="left" w:pos="5646"/>
          <w:tab w:val="right" w:pos="8826"/>
        </w:tabs>
        <w:spacing w:after="120" w:line="360" w:lineRule="auto"/>
        <w:jc w:val="both"/>
        <w:rPr>
          <w:rFonts w:ascii="Arial" w:eastAsia="Arial" w:hAnsi="Arial" w:cs="Arial"/>
          <w:color w:val="010000"/>
          <w:sz w:val="20"/>
          <w:szCs w:val="20"/>
        </w:rPr>
      </w:pPr>
      <w:r>
        <w:rPr>
          <w:rFonts w:ascii="Arial" w:hAnsi="Arial"/>
          <w:color w:val="010000"/>
          <w:sz w:val="20"/>
        </w:rPr>
        <w:t>The Company under Article 42 of the Company’s Charter and Article 35 of the Law on Enterprises 2020 recommends no profit distribution in 2023 as it still incurred loss.</w:t>
      </w:r>
    </w:p>
    <w:p w14:paraId="7D7BFBBD" w14:textId="77777777" w:rsidR="00510E34" w:rsidRDefault="002455ED" w:rsidP="00C70E1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6. Regarding remuneration of the Board of Directors.</w:t>
      </w:r>
    </w:p>
    <w:p w14:paraId="18758131" w14:textId="77777777" w:rsidR="00510E34" w:rsidRDefault="002455ED" w:rsidP="00C70E19">
      <w:pPr>
        <w:numPr>
          <w:ilvl w:val="0"/>
          <w:numId w:val="9"/>
        </w:num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Approve the results of remuneration payments to the Board of Directors and the Supervisory Board in 2023 was VND 204,000,000 in Report No. 23/</w:t>
      </w:r>
      <w:proofErr w:type="spellStart"/>
      <w:r>
        <w:rPr>
          <w:rFonts w:ascii="Arial" w:hAnsi="Arial"/>
          <w:color w:val="010000"/>
          <w:sz w:val="20"/>
        </w:rPr>
        <w:t>TTr</w:t>
      </w:r>
      <w:proofErr w:type="spellEnd"/>
      <w:r>
        <w:rPr>
          <w:rFonts w:ascii="Arial" w:hAnsi="Arial"/>
          <w:color w:val="010000"/>
          <w:sz w:val="20"/>
        </w:rPr>
        <w:t>-HDQT dated April 4, 2024.</w:t>
      </w:r>
    </w:p>
    <w:p w14:paraId="6EE9EE45" w14:textId="77777777" w:rsidR="00510E34" w:rsidRDefault="002455ED" w:rsidP="00C70E19">
      <w:pPr>
        <w:numPr>
          <w:ilvl w:val="0"/>
          <w:numId w:val="9"/>
        </w:num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Approve the Remuneration Plan for the Board of Directors and the Audit Committee in 2024 was VND 139,000,000, in which the remuneration level of each related member is as follows:</w:t>
      </w:r>
    </w:p>
    <w:p w14:paraId="1F66B31F" w14:textId="77777777" w:rsidR="00510E34" w:rsidRDefault="002455ED" w:rsidP="00C70E19">
      <w:pPr>
        <w:numPr>
          <w:ilvl w:val="0"/>
          <w:numId w:val="10"/>
        </w:num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Pr>
          <w:rFonts w:ascii="Arial" w:hAnsi="Arial"/>
          <w:color w:val="010000"/>
          <w:sz w:val="20"/>
        </w:rPr>
        <w:t>Chair of the Board of Directors: VND 3,000,000/month.</w:t>
      </w:r>
    </w:p>
    <w:p w14:paraId="41F26F06" w14:textId="77777777" w:rsidR="00510E34" w:rsidRDefault="002455ED" w:rsidP="00C70E19">
      <w:pPr>
        <w:numPr>
          <w:ilvl w:val="0"/>
          <w:numId w:val="10"/>
        </w:num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Pr>
          <w:rFonts w:ascii="Arial" w:hAnsi="Arial"/>
          <w:color w:val="010000"/>
          <w:sz w:val="20"/>
        </w:rPr>
        <w:t>Members of the Board of Directors: VND 2,500,000/month.</w:t>
      </w:r>
    </w:p>
    <w:p w14:paraId="0C9A0CF4" w14:textId="77777777" w:rsidR="00510E34" w:rsidRDefault="002455ED" w:rsidP="00C70E19">
      <w:pPr>
        <w:numPr>
          <w:ilvl w:val="0"/>
          <w:numId w:val="10"/>
        </w:num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Pr>
          <w:rFonts w:ascii="Arial" w:hAnsi="Arial"/>
          <w:color w:val="010000"/>
          <w:sz w:val="20"/>
        </w:rPr>
        <w:t>Chief of the Supervisory Board (before dismissal): VND 2,500,000/month.</w:t>
      </w:r>
    </w:p>
    <w:p w14:paraId="0CEFA2F8" w14:textId="77777777" w:rsidR="00510E34" w:rsidRDefault="002455ED" w:rsidP="00C70E19">
      <w:pPr>
        <w:numPr>
          <w:ilvl w:val="0"/>
          <w:numId w:val="10"/>
        </w:num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Pr>
          <w:rFonts w:ascii="Arial" w:hAnsi="Arial"/>
          <w:color w:val="010000"/>
          <w:sz w:val="20"/>
        </w:rPr>
        <w:t>Members of the Supervisory Board (before dismissal): VND 2,000,000/month.</w:t>
      </w:r>
    </w:p>
    <w:p w14:paraId="604BABA7" w14:textId="77777777" w:rsidR="00510E34" w:rsidRDefault="002455ED" w:rsidP="00C70E19">
      <w:pPr>
        <w:numPr>
          <w:ilvl w:val="0"/>
          <w:numId w:val="10"/>
        </w:num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Pr>
          <w:rFonts w:ascii="Arial" w:hAnsi="Arial"/>
          <w:color w:val="010000"/>
          <w:sz w:val="20"/>
        </w:rPr>
        <w:t>Chief of the Audit Committee: VND 2,000,000/month.</w:t>
      </w:r>
    </w:p>
    <w:p w14:paraId="52052246" w14:textId="77777777" w:rsidR="00510E34" w:rsidRDefault="002455ED" w:rsidP="00C70E19">
      <w:pPr>
        <w:numPr>
          <w:ilvl w:val="0"/>
          <w:numId w:val="10"/>
        </w:num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Pr>
          <w:rFonts w:ascii="Arial" w:hAnsi="Arial"/>
          <w:color w:val="010000"/>
          <w:sz w:val="20"/>
        </w:rPr>
        <w:t>Members of the Audit Committee: VND 1,000,000 per month.</w:t>
      </w:r>
    </w:p>
    <w:p w14:paraId="2A00B3E5" w14:textId="77777777" w:rsidR="00510E34" w:rsidRDefault="002455ED" w:rsidP="00C70E1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7. Regarding selecting an audit company for the Financial Statements 2024.</w:t>
      </w:r>
    </w:p>
    <w:p w14:paraId="78021135" w14:textId="77777777" w:rsidR="00510E34" w:rsidRDefault="002455ED" w:rsidP="00C70E19">
      <w:pPr>
        <w:numPr>
          <w:ilvl w:val="0"/>
          <w:numId w:val="3"/>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Pr>
          <w:rFonts w:ascii="Arial" w:hAnsi="Arial"/>
          <w:color w:val="010000"/>
          <w:sz w:val="20"/>
        </w:rPr>
        <w:t>Approve the list of audit companies to audit the Financial Statements 2024 in Report No. 24/</w:t>
      </w:r>
      <w:proofErr w:type="spellStart"/>
      <w:r>
        <w:rPr>
          <w:rFonts w:ascii="Arial" w:hAnsi="Arial"/>
          <w:color w:val="010000"/>
          <w:sz w:val="20"/>
        </w:rPr>
        <w:t>TTr</w:t>
      </w:r>
      <w:proofErr w:type="spellEnd"/>
      <w:r>
        <w:rPr>
          <w:rFonts w:ascii="Arial" w:hAnsi="Arial"/>
          <w:color w:val="010000"/>
          <w:sz w:val="20"/>
        </w:rPr>
        <w:t>-HDQT dated April 4, 2024 of the Board of Directors:</w:t>
      </w:r>
    </w:p>
    <w:p w14:paraId="025B273A" w14:textId="77777777" w:rsidR="00510E34" w:rsidRDefault="002455ED" w:rsidP="00C70E19">
      <w:pPr>
        <w:numPr>
          <w:ilvl w:val="0"/>
          <w:numId w:val="1"/>
        </w:num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Pr>
          <w:rFonts w:ascii="Arial" w:hAnsi="Arial"/>
          <w:color w:val="010000"/>
          <w:sz w:val="20"/>
        </w:rPr>
        <w:t>PwC Vietnam Limited (PWC);</w:t>
      </w:r>
    </w:p>
    <w:p w14:paraId="7DFC910B" w14:textId="77777777" w:rsidR="00510E34" w:rsidRDefault="002455ED" w:rsidP="00C70E19">
      <w:pPr>
        <w:numPr>
          <w:ilvl w:val="0"/>
          <w:numId w:val="1"/>
        </w:numPr>
        <w:pBdr>
          <w:top w:val="nil"/>
          <w:left w:val="nil"/>
          <w:bottom w:val="nil"/>
          <w:right w:val="nil"/>
          <w:between w:val="nil"/>
        </w:pBdr>
        <w:tabs>
          <w:tab w:val="left" w:pos="284"/>
          <w:tab w:val="left" w:pos="1214"/>
        </w:tabs>
        <w:spacing w:after="120" w:line="360" w:lineRule="auto"/>
        <w:jc w:val="both"/>
        <w:rPr>
          <w:rFonts w:ascii="Arial" w:eastAsia="Arial" w:hAnsi="Arial" w:cs="Arial"/>
          <w:color w:val="010000"/>
          <w:sz w:val="20"/>
          <w:szCs w:val="20"/>
        </w:rPr>
      </w:pPr>
      <w:r>
        <w:rPr>
          <w:rFonts w:ascii="Arial" w:hAnsi="Arial"/>
          <w:color w:val="010000"/>
          <w:sz w:val="20"/>
        </w:rPr>
        <w:t>Southern Auditing &amp; Accounting Financial Consulting Services Company Limited (AASCS);</w:t>
      </w:r>
    </w:p>
    <w:p w14:paraId="5D553CF2" w14:textId="77777777" w:rsidR="00510E34" w:rsidRDefault="002455ED" w:rsidP="00C70E19">
      <w:pPr>
        <w:numPr>
          <w:ilvl w:val="0"/>
          <w:numId w:val="1"/>
        </w:num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proofErr w:type="spellStart"/>
      <w:r>
        <w:rPr>
          <w:rFonts w:ascii="Arial" w:hAnsi="Arial"/>
          <w:color w:val="010000"/>
          <w:sz w:val="20"/>
        </w:rPr>
        <w:t>Vietvalues</w:t>
      </w:r>
      <w:proofErr w:type="spellEnd"/>
      <w:r>
        <w:rPr>
          <w:rFonts w:ascii="Arial" w:hAnsi="Arial"/>
          <w:color w:val="010000"/>
          <w:sz w:val="20"/>
        </w:rPr>
        <w:t xml:space="preserve"> Assurance &amp; Consulting Company Limited;</w:t>
      </w:r>
    </w:p>
    <w:p w14:paraId="2A0FFAB0" w14:textId="77777777" w:rsidR="00510E34" w:rsidRDefault="002455ED" w:rsidP="00C70E19">
      <w:pPr>
        <w:numPr>
          <w:ilvl w:val="0"/>
          <w:numId w:val="1"/>
        </w:num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Pr>
          <w:rFonts w:ascii="Arial" w:hAnsi="Arial"/>
          <w:color w:val="010000"/>
          <w:sz w:val="20"/>
        </w:rPr>
        <w:t>RSM Vietnam Auditing &amp; Consulting Limited.</w:t>
      </w:r>
    </w:p>
    <w:p w14:paraId="4211058F" w14:textId="77777777" w:rsidR="00510E34" w:rsidRDefault="002455ED" w:rsidP="00C70E19">
      <w:pPr>
        <w:numPr>
          <w:ilvl w:val="0"/>
          <w:numId w:val="3"/>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Pr>
          <w:rFonts w:ascii="Arial" w:hAnsi="Arial"/>
          <w:color w:val="010000"/>
          <w:sz w:val="20"/>
        </w:rPr>
        <w:t>Authorize the Board of Directors to decide to select one of the audit companies in the list approved in Clause 1 of this Article to audit the Company's Financial Statements 2024.</w:t>
      </w:r>
    </w:p>
    <w:p w14:paraId="220F0DB3" w14:textId="77777777" w:rsidR="00510E34" w:rsidRDefault="002455ED" w:rsidP="00C70E1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8: Regarding supplementing the Company's business lines.</w:t>
      </w:r>
    </w:p>
    <w:p w14:paraId="368D6232" w14:textId="77777777" w:rsidR="00510E34" w:rsidRDefault="002455ED" w:rsidP="00C70E1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Approve </w:t>
      </w:r>
      <w:proofErr w:type="spellStart"/>
      <w:r>
        <w:rPr>
          <w:rFonts w:ascii="Arial" w:hAnsi="Arial"/>
          <w:color w:val="010000"/>
          <w:sz w:val="20"/>
        </w:rPr>
        <w:t>Legamex's</w:t>
      </w:r>
      <w:proofErr w:type="spellEnd"/>
      <w:r>
        <w:rPr>
          <w:rFonts w:ascii="Arial" w:hAnsi="Arial"/>
          <w:color w:val="010000"/>
          <w:sz w:val="20"/>
        </w:rPr>
        <w:t xml:space="preserve"> supplemented business lines, specifically as follows:</w:t>
      </w:r>
    </w:p>
    <w:p w14:paraId="68FCEDA8" w14:textId="77777777" w:rsidR="00510E34" w:rsidRDefault="002455ED">
      <w:pPr>
        <w:numPr>
          <w:ilvl w:val="0"/>
          <w:numId w:val="2"/>
        </w:num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Supplemented business lines.</w:t>
      </w:r>
    </w:p>
    <w:tbl>
      <w:tblPr>
        <w:tblStyle w:val="a2"/>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
        <w:gridCol w:w="6052"/>
        <w:gridCol w:w="2074"/>
      </w:tblGrid>
      <w:tr w:rsidR="00510E34" w14:paraId="74637D1C" w14:textId="77777777">
        <w:tc>
          <w:tcPr>
            <w:tcW w:w="891" w:type="dxa"/>
            <w:shd w:val="clear" w:color="auto" w:fill="auto"/>
            <w:tcMar>
              <w:top w:w="0" w:type="dxa"/>
              <w:bottom w:w="0" w:type="dxa"/>
            </w:tcMar>
            <w:vAlign w:val="center"/>
          </w:tcPr>
          <w:p w14:paraId="4A362989"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No.</w:t>
            </w:r>
          </w:p>
        </w:tc>
        <w:tc>
          <w:tcPr>
            <w:tcW w:w="6052" w:type="dxa"/>
            <w:shd w:val="clear" w:color="auto" w:fill="auto"/>
            <w:tcMar>
              <w:top w:w="0" w:type="dxa"/>
              <w:bottom w:w="0" w:type="dxa"/>
            </w:tcMar>
            <w:vAlign w:val="center"/>
          </w:tcPr>
          <w:p w14:paraId="1AE44F01"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Name of supplemented business lines</w:t>
            </w:r>
          </w:p>
        </w:tc>
        <w:tc>
          <w:tcPr>
            <w:tcW w:w="2074" w:type="dxa"/>
            <w:shd w:val="clear" w:color="auto" w:fill="auto"/>
            <w:tcMar>
              <w:top w:w="0" w:type="dxa"/>
              <w:bottom w:w="0" w:type="dxa"/>
            </w:tcMar>
            <w:vAlign w:val="center"/>
          </w:tcPr>
          <w:p w14:paraId="43B791DC"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Business line code</w:t>
            </w:r>
          </w:p>
        </w:tc>
      </w:tr>
      <w:tr w:rsidR="00510E34" w14:paraId="214FC398" w14:textId="77777777">
        <w:tc>
          <w:tcPr>
            <w:tcW w:w="891" w:type="dxa"/>
            <w:shd w:val="clear" w:color="auto" w:fill="auto"/>
            <w:tcMar>
              <w:top w:w="0" w:type="dxa"/>
              <w:bottom w:w="0" w:type="dxa"/>
            </w:tcMar>
            <w:vAlign w:val="center"/>
          </w:tcPr>
          <w:p w14:paraId="27C3935C"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w:t>
            </w:r>
          </w:p>
        </w:tc>
        <w:tc>
          <w:tcPr>
            <w:tcW w:w="6052" w:type="dxa"/>
            <w:shd w:val="clear" w:color="auto" w:fill="auto"/>
            <w:tcMar>
              <w:top w:w="0" w:type="dxa"/>
              <w:bottom w:w="0" w:type="dxa"/>
            </w:tcMar>
            <w:vAlign w:val="center"/>
          </w:tcPr>
          <w:p w14:paraId="14F8F163" w14:textId="77777777" w:rsidR="00510E34" w:rsidRDefault="002455ED">
            <w:pPr>
              <w:pBdr>
                <w:top w:val="nil"/>
                <w:left w:val="nil"/>
                <w:bottom w:val="nil"/>
                <w:right w:val="nil"/>
                <w:between w:val="nil"/>
              </w:pBdr>
              <w:spacing w:after="120" w:line="360" w:lineRule="auto"/>
              <w:ind w:firstLine="94"/>
              <w:jc w:val="both"/>
              <w:rPr>
                <w:rFonts w:ascii="Arial" w:eastAsia="Arial" w:hAnsi="Arial" w:cs="Arial"/>
                <w:color w:val="010000"/>
                <w:sz w:val="20"/>
                <w:szCs w:val="20"/>
              </w:rPr>
            </w:pPr>
            <w:r>
              <w:rPr>
                <w:rFonts w:ascii="Arial" w:hAnsi="Arial"/>
                <w:color w:val="010000"/>
                <w:sz w:val="20"/>
              </w:rPr>
              <w:t>Warehousing and storage of goods</w:t>
            </w:r>
          </w:p>
          <w:p w14:paraId="2D5128F3" w14:textId="77777777" w:rsidR="00510E34" w:rsidRDefault="002455ED">
            <w:pPr>
              <w:pBdr>
                <w:top w:val="nil"/>
                <w:left w:val="nil"/>
                <w:bottom w:val="nil"/>
                <w:right w:val="nil"/>
                <w:between w:val="nil"/>
              </w:pBdr>
              <w:spacing w:after="120" w:line="360" w:lineRule="auto"/>
              <w:ind w:firstLine="94"/>
              <w:jc w:val="both"/>
              <w:rPr>
                <w:rFonts w:ascii="Arial" w:eastAsia="Arial" w:hAnsi="Arial" w:cs="Arial"/>
                <w:color w:val="010000"/>
                <w:sz w:val="20"/>
                <w:szCs w:val="20"/>
              </w:rPr>
            </w:pPr>
            <w:r>
              <w:rPr>
                <w:rFonts w:ascii="Arial" w:hAnsi="Arial"/>
                <w:color w:val="010000"/>
                <w:sz w:val="20"/>
              </w:rPr>
              <w:t>Details: Storage of goods (except warehousing business)</w:t>
            </w:r>
          </w:p>
        </w:tc>
        <w:tc>
          <w:tcPr>
            <w:tcW w:w="2074" w:type="dxa"/>
            <w:shd w:val="clear" w:color="auto" w:fill="auto"/>
            <w:tcMar>
              <w:top w:w="0" w:type="dxa"/>
              <w:bottom w:w="0" w:type="dxa"/>
            </w:tcMar>
            <w:vAlign w:val="center"/>
          </w:tcPr>
          <w:p w14:paraId="1D9CBEC8"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5210</w:t>
            </w:r>
          </w:p>
        </w:tc>
      </w:tr>
      <w:tr w:rsidR="00510E34" w14:paraId="70B46F6E" w14:textId="77777777">
        <w:tc>
          <w:tcPr>
            <w:tcW w:w="891" w:type="dxa"/>
            <w:shd w:val="clear" w:color="auto" w:fill="auto"/>
            <w:tcMar>
              <w:top w:w="0" w:type="dxa"/>
              <w:bottom w:w="0" w:type="dxa"/>
            </w:tcMar>
            <w:vAlign w:val="center"/>
          </w:tcPr>
          <w:p w14:paraId="0C0F55E5"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2</w:t>
            </w:r>
          </w:p>
        </w:tc>
        <w:tc>
          <w:tcPr>
            <w:tcW w:w="6052" w:type="dxa"/>
            <w:shd w:val="clear" w:color="auto" w:fill="auto"/>
            <w:tcMar>
              <w:top w:w="0" w:type="dxa"/>
              <w:bottom w:w="0" w:type="dxa"/>
            </w:tcMar>
            <w:vAlign w:val="center"/>
          </w:tcPr>
          <w:p w14:paraId="435EE418" w14:textId="77777777" w:rsidR="00510E34" w:rsidRDefault="002455ED">
            <w:pPr>
              <w:pBdr>
                <w:top w:val="nil"/>
                <w:left w:val="nil"/>
                <w:bottom w:val="nil"/>
                <w:right w:val="nil"/>
                <w:between w:val="nil"/>
              </w:pBdr>
              <w:spacing w:after="120" w:line="360" w:lineRule="auto"/>
              <w:ind w:firstLine="94"/>
              <w:jc w:val="both"/>
              <w:rPr>
                <w:rFonts w:ascii="Arial" w:eastAsia="Arial" w:hAnsi="Arial" w:cs="Arial"/>
                <w:color w:val="010000"/>
                <w:sz w:val="20"/>
                <w:szCs w:val="20"/>
              </w:rPr>
            </w:pPr>
            <w:r>
              <w:rPr>
                <w:rFonts w:ascii="Arial" w:hAnsi="Arial"/>
                <w:color w:val="010000"/>
                <w:sz w:val="20"/>
              </w:rPr>
              <w:t>Direct support service activities for road transport</w:t>
            </w:r>
            <w:r>
              <w:rPr>
                <w:rFonts w:ascii="Arial" w:hAnsi="Arial"/>
                <w:color w:val="010000"/>
                <w:sz w:val="20"/>
              </w:rPr>
              <w:tab/>
              <w:t xml:space="preserve">Details: </w:t>
            </w:r>
            <w:r>
              <w:rPr>
                <w:rFonts w:ascii="Arial" w:hAnsi="Arial"/>
                <w:color w:val="010000"/>
                <w:sz w:val="20"/>
              </w:rPr>
              <w:lastRenderedPageBreak/>
              <w:t>Road vehicle maintenance and management activities (only operates when all conditions prescribed by law are met)</w:t>
            </w:r>
          </w:p>
        </w:tc>
        <w:tc>
          <w:tcPr>
            <w:tcW w:w="2074" w:type="dxa"/>
            <w:shd w:val="clear" w:color="auto" w:fill="auto"/>
            <w:tcMar>
              <w:top w:w="0" w:type="dxa"/>
              <w:bottom w:w="0" w:type="dxa"/>
            </w:tcMar>
            <w:vAlign w:val="center"/>
          </w:tcPr>
          <w:p w14:paraId="2A614583"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lastRenderedPageBreak/>
              <w:t>5225</w:t>
            </w:r>
          </w:p>
        </w:tc>
      </w:tr>
      <w:tr w:rsidR="00510E34" w14:paraId="3D1BEA41" w14:textId="77777777">
        <w:tc>
          <w:tcPr>
            <w:tcW w:w="891" w:type="dxa"/>
            <w:shd w:val="clear" w:color="auto" w:fill="auto"/>
            <w:tcMar>
              <w:top w:w="0" w:type="dxa"/>
              <w:bottom w:w="0" w:type="dxa"/>
            </w:tcMar>
            <w:vAlign w:val="center"/>
          </w:tcPr>
          <w:p w14:paraId="5523BBAE"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lastRenderedPageBreak/>
              <w:t>3</w:t>
            </w:r>
          </w:p>
        </w:tc>
        <w:tc>
          <w:tcPr>
            <w:tcW w:w="6052" w:type="dxa"/>
            <w:shd w:val="clear" w:color="auto" w:fill="auto"/>
            <w:tcMar>
              <w:top w:w="0" w:type="dxa"/>
              <w:bottom w:w="0" w:type="dxa"/>
            </w:tcMar>
            <w:vAlign w:val="center"/>
          </w:tcPr>
          <w:p w14:paraId="56E3F1A1" w14:textId="77777777" w:rsidR="00510E34" w:rsidRDefault="002455ED">
            <w:pPr>
              <w:pBdr>
                <w:top w:val="nil"/>
                <w:left w:val="nil"/>
                <w:bottom w:val="nil"/>
                <w:right w:val="nil"/>
                <w:between w:val="nil"/>
              </w:pBdr>
              <w:spacing w:after="120" w:line="360" w:lineRule="auto"/>
              <w:ind w:firstLine="94"/>
              <w:jc w:val="both"/>
              <w:rPr>
                <w:rFonts w:ascii="Arial" w:eastAsia="Arial" w:hAnsi="Arial" w:cs="Arial"/>
                <w:color w:val="010000"/>
                <w:sz w:val="20"/>
                <w:szCs w:val="20"/>
              </w:rPr>
            </w:pPr>
            <w:r>
              <w:rPr>
                <w:rFonts w:ascii="Arial" w:hAnsi="Arial"/>
                <w:color w:val="010000"/>
                <w:sz w:val="20"/>
              </w:rPr>
              <w:t>Retail of medication, medical equipment, cosmetic and hygiene products in specialized stores</w:t>
            </w:r>
          </w:p>
          <w:p w14:paraId="01B98B27" w14:textId="77777777" w:rsidR="00510E34" w:rsidRDefault="002455ED">
            <w:pPr>
              <w:pBdr>
                <w:top w:val="nil"/>
                <w:left w:val="nil"/>
                <w:bottom w:val="nil"/>
                <w:right w:val="nil"/>
                <w:between w:val="nil"/>
              </w:pBdr>
              <w:spacing w:after="120" w:line="360" w:lineRule="auto"/>
              <w:ind w:firstLine="94"/>
              <w:jc w:val="both"/>
              <w:rPr>
                <w:rFonts w:ascii="Arial" w:eastAsia="Arial" w:hAnsi="Arial" w:cs="Arial"/>
                <w:color w:val="010000"/>
                <w:sz w:val="20"/>
                <w:szCs w:val="20"/>
              </w:rPr>
            </w:pPr>
            <w:r>
              <w:rPr>
                <w:rFonts w:ascii="Arial" w:hAnsi="Arial"/>
                <w:color w:val="010000"/>
                <w:sz w:val="20"/>
              </w:rPr>
              <w:t>(Only operates when all conditions prescribed by law are met)</w:t>
            </w:r>
          </w:p>
        </w:tc>
        <w:tc>
          <w:tcPr>
            <w:tcW w:w="2074" w:type="dxa"/>
            <w:shd w:val="clear" w:color="auto" w:fill="auto"/>
            <w:tcMar>
              <w:top w:w="0" w:type="dxa"/>
              <w:bottom w:w="0" w:type="dxa"/>
            </w:tcMar>
            <w:vAlign w:val="center"/>
          </w:tcPr>
          <w:p w14:paraId="461C0C98"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4772</w:t>
            </w:r>
          </w:p>
        </w:tc>
      </w:tr>
      <w:tr w:rsidR="00510E34" w14:paraId="3236366B" w14:textId="77777777">
        <w:tc>
          <w:tcPr>
            <w:tcW w:w="891" w:type="dxa"/>
            <w:shd w:val="clear" w:color="auto" w:fill="auto"/>
            <w:tcMar>
              <w:top w:w="0" w:type="dxa"/>
              <w:bottom w:w="0" w:type="dxa"/>
            </w:tcMar>
            <w:vAlign w:val="center"/>
          </w:tcPr>
          <w:p w14:paraId="72F69195"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4</w:t>
            </w:r>
          </w:p>
        </w:tc>
        <w:tc>
          <w:tcPr>
            <w:tcW w:w="6052" w:type="dxa"/>
            <w:shd w:val="clear" w:color="auto" w:fill="auto"/>
            <w:tcMar>
              <w:top w:w="0" w:type="dxa"/>
              <w:bottom w:w="0" w:type="dxa"/>
            </w:tcMar>
            <w:vAlign w:val="center"/>
          </w:tcPr>
          <w:p w14:paraId="783BF663" w14:textId="77777777" w:rsidR="00510E34" w:rsidRDefault="002455ED">
            <w:pPr>
              <w:pBdr>
                <w:top w:val="nil"/>
                <w:left w:val="nil"/>
                <w:bottom w:val="nil"/>
                <w:right w:val="nil"/>
                <w:between w:val="nil"/>
              </w:pBdr>
              <w:spacing w:after="120" w:line="360" w:lineRule="auto"/>
              <w:ind w:firstLine="94"/>
              <w:jc w:val="both"/>
              <w:rPr>
                <w:rFonts w:ascii="Arial" w:eastAsia="Arial" w:hAnsi="Arial" w:cs="Arial"/>
                <w:color w:val="010000"/>
                <w:sz w:val="20"/>
                <w:szCs w:val="20"/>
              </w:rPr>
            </w:pPr>
            <w:r>
              <w:rPr>
                <w:rFonts w:ascii="Arial" w:hAnsi="Arial"/>
                <w:color w:val="010000"/>
                <w:sz w:val="20"/>
              </w:rPr>
              <w:t>Primary education</w:t>
            </w:r>
          </w:p>
          <w:p w14:paraId="2F683E82" w14:textId="77777777" w:rsidR="00510E34" w:rsidRDefault="002455ED">
            <w:pPr>
              <w:pBdr>
                <w:top w:val="nil"/>
                <w:left w:val="nil"/>
                <w:bottom w:val="nil"/>
                <w:right w:val="nil"/>
                <w:between w:val="nil"/>
              </w:pBdr>
              <w:spacing w:after="120" w:line="360" w:lineRule="auto"/>
              <w:ind w:firstLine="94"/>
              <w:jc w:val="both"/>
              <w:rPr>
                <w:rFonts w:ascii="Arial" w:eastAsia="Arial" w:hAnsi="Arial" w:cs="Arial"/>
                <w:color w:val="010000"/>
                <w:sz w:val="20"/>
                <w:szCs w:val="20"/>
              </w:rPr>
            </w:pPr>
            <w:r>
              <w:rPr>
                <w:rFonts w:ascii="Arial" w:hAnsi="Arial"/>
                <w:color w:val="010000"/>
                <w:sz w:val="20"/>
              </w:rPr>
              <w:t>(Only operates when all conditions prescribed by law are met)</w:t>
            </w:r>
          </w:p>
        </w:tc>
        <w:tc>
          <w:tcPr>
            <w:tcW w:w="2074" w:type="dxa"/>
            <w:shd w:val="clear" w:color="auto" w:fill="auto"/>
            <w:tcMar>
              <w:top w:w="0" w:type="dxa"/>
              <w:bottom w:w="0" w:type="dxa"/>
            </w:tcMar>
            <w:vAlign w:val="center"/>
          </w:tcPr>
          <w:p w14:paraId="4D32D585"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8521</w:t>
            </w:r>
          </w:p>
        </w:tc>
      </w:tr>
      <w:tr w:rsidR="00510E34" w14:paraId="4FA09159" w14:textId="77777777">
        <w:tc>
          <w:tcPr>
            <w:tcW w:w="891" w:type="dxa"/>
            <w:shd w:val="clear" w:color="auto" w:fill="auto"/>
            <w:tcMar>
              <w:top w:w="0" w:type="dxa"/>
              <w:bottom w:w="0" w:type="dxa"/>
            </w:tcMar>
            <w:vAlign w:val="center"/>
          </w:tcPr>
          <w:p w14:paraId="64D27E4F"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5</w:t>
            </w:r>
          </w:p>
        </w:tc>
        <w:tc>
          <w:tcPr>
            <w:tcW w:w="6052" w:type="dxa"/>
            <w:shd w:val="clear" w:color="auto" w:fill="auto"/>
            <w:tcMar>
              <w:top w:w="0" w:type="dxa"/>
              <w:bottom w:w="0" w:type="dxa"/>
            </w:tcMar>
            <w:vAlign w:val="center"/>
          </w:tcPr>
          <w:p w14:paraId="7A449BED" w14:textId="77777777" w:rsidR="00510E34" w:rsidRDefault="002455ED">
            <w:pPr>
              <w:pBdr>
                <w:top w:val="nil"/>
                <w:left w:val="nil"/>
                <w:bottom w:val="nil"/>
                <w:right w:val="nil"/>
                <w:between w:val="nil"/>
              </w:pBdr>
              <w:spacing w:after="120" w:line="360" w:lineRule="auto"/>
              <w:ind w:firstLine="94"/>
              <w:jc w:val="both"/>
              <w:rPr>
                <w:rFonts w:ascii="Arial" w:eastAsia="Arial" w:hAnsi="Arial" w:cs="Arial"/>
                <w:color w:val="010000"/>
                <w:sz w:val="20"/>
                <w:szCs w:val="20"/>
              </w:rPr>
            </w:pPr>
            <w:r>
              <w:rPr>
                <w:rFonts w:ascii="Arial" w:hAnsi="Arial"/>
                <w:color w:val="010000"/>
                <w:sz w:val="20"/>
              </w:rPr>
              <w:t>Secondary education</w:t>
            </w:r>
          </w:p>
          <w:p w14:paraId="351EBD46" w14:textId="77777777" w:rsidR="00510E34" w:rsidRDefault="002455ED">
            <w:pPr>
              <w:pBdr>
                <w:top w:val="nil"/>
                <w:left w:val="nil"/>
                <w:bottom w:val="nil"/>
                <w:right w:val="nil"/>
                <w:between w:val="nil"/>
              </w:pBdr>
              <w:spacing w:after="120" w:line="360" w:lineRule="auto"/>
              <w:ind w:firstLine="94"/>
              <w:jc w:val="both"/>
              <w:rPr>
                <w:rFonts w:ascii="Arial" w:eastAsia="Arial" w:hAnsi="Arial" w:cs="Arial"/>
                <w:color w:val="010000"/>
                <w:sz w:val="20"/>
                <w:szCs w:val="20"/>
              </w:rPr>
            </w:pPr>
            <w:r>
              <w:rPr>
                <w:rFonts w:ascii="Arial" w:hAnsi="Arial"/>
                <w:color w:val="010000"/>
                <w:sz w:val="20"/>
              </w:rPr>
              <w:t>(Only operates when all conditions prescribed by law are met)</w:t>
            </w:r>
          </w:p>
        </w:tc>
        <w:tc>
          <w:tcPr>
            <w:tcW w:w="2074" w:type="dxa"/>
            <w:shd w:val="clear" w:color="auto" w:fill="auto"/>
            <w:tcMar>
              <w:top w:w="0" w:type="dxa"/>
              <w:bottom w:w="0" w:type="dxa"/>
            </w:tcMar>
            <w:vAlign w:val="center"/>
          </w:tcPr>
          <w:p w14:paraId="774FE8BD"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8522</w:t>
            </w:r>
          </w:p>
        </w:tc>
      </w:tr>
      <w:tr w:rsidR="00510E34" w14:paraId="7B406E7B" w14:textId="77777777">
        <w:tc>
          <w:tcPr>
            <w:tcW w:w="891" w:type="dxa"/>
            <w:shd w:val="clear" w:color="auto" w:fill="auto"/>
            <w:tcMar>
              <w:top w:w="0" w:type="dxa"/>
              <w:bottom w:w="0" w:type="dxa"/>
            </w:tcMar>
            <w:vAlign w:val="center"/>
          </w:tcPr>
          <w:p w14:paraId="5DF4D261"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6</w:t>
            </w:r>
          </w:p>
        </w:tc>
        <w:tc>
          <w:tcPr>
            <w:tcW w:w="6052" w:type="dxa"/>
            <w:shd w:val="clear" w:color="auto" w:fill="auto"/>
            <w:tcMar>
              <w:top w:w="0" w:type="dxa"/>
              <w:bottom w:w="0" w:type="dxa"/>
            </w:tcMar>
            <w:vAlign w:val="center"/>
          </w:tcPr>
          <w:p w14:paraId="1437C548" w14:textId="77777777" w:rsidR="00510E34" w:rsidRDefault="002455ED">
            <w:pPr>
              <w:pBdr>
                <w:top w:val="nil"/>
                <w:left w:val="nil"/>
                <w:bottom w:val="nil"/>
                <w:right w:val="nil"/>
                <w:between w:val="nil"/>
              </w:pBdr>
              <w:spacing w:after="120" w:line="360" w:lineRule="auto"/>
              <w:ind w:firstLine="94"/>
              <w:jc w:val="both"/>
              <w:rPr>
                <w:rFonts w:ascii="Arial" w:eastAsia="Arial" w:hAnsi="Arial" w:cs="Arial"/>
                <w:color w:val="010000"/>
                <w:sz w:val="20"/>
                <w:szCs w:val="20"/>
              </w:rPr>
            </w:pPr>
            <w:r>
              <w:rPr>
                <w:rFonts w:ascii="Arial" w:hAnsi="Arial"/>
                <w:color w:val="010000"/>
                <w:sz w:val="20"/>
              </w:rPr>
              <w:t>High school education</w:t>
            </w:r>
          </w:p>
          <w:p w14:paraId="3A98202A" w14:textId="77777777" w:rsidR="00510E34" w:rsidRDefault="002455ED">
            <w:pPr>
              <w:pBdr>
                <w:top w:val="nil"/>
                <w:left w:val="nil"/>
                <w:bottom w:val="nil"/>
                <w:right w:val="nil"/>
                <w:between w:val="nil"/>
              </w:pBdr>
              <w:spacing w:after="120" w:line="360" w:lineRule="auto"/>
              <w:ind w:firstLine="94"/>
              <w:jc w:val="both"/>
              <w:rPr>
                <w:rFonts w:ascii="Arial" w:eastAsia="Arial" w:hAnsi="Arial" w:cs="Arial"/>
                <w:color w:val="010000"/>
                <w:sz w:val="20"/>
                <w:szCs w:val="20"/>
              </w:rPr>
            </w:pPr>
            <w:r>
              <w:rPr>
                <w:rFonts w:ascii="Arial" w:hAnsi="Arial"/>
                <w:color w:val="010000"/>
                <w:sz w:val="20"/>
              </w:rPr>
              <w:t>(Only operates when all conditions prescribed by law are met)</w:t>
            </w:r>
          </w:p>
        </w:tc>
        <w:tc>
          <w:tcPr>
            <w:tcW w:w="2074" w:type="dxa"/>
            <w:shd w:val="clear" w:color="auto" w:fill="auto"/>
            <w:tcMar>
              <w:top w:w="0" w:type="dxa"/>
              <w:bottom w:w="0" w:type="dxa"/>
            </w:tcMar>
            <w:vAlign w:val="center"/>
          </w:tcPr>
          <w:p w14:paraId="7916D042"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8523</w:t>
            </w:r>
          </w:p>
        </w:tc>
      </w:tr>
      <w:tr w:rsidR="00510E34" w14:paraId="6C750050" w14:textId="77777777">
        <w:tc>
          <w:tcPr>
            <w:tcW w:w="891" w:type="dxa"/>
            <w:shd w:val="clear" w:color="auto" w:fill="auto"/>
            <w:tcMar>
              <w:top w:w="0" w:type="dxa"/>
              <w:bottom w:w="0" w:type="dxa"/>
            </w:tcMar>
            <w:vAlign w:val="center"/>
          </w:tcPr>
          <w:p w14:paraId="71DB6449"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7</w:t>
            </w:r>
          </w:p>
        </w:tc>
        <w:tc>
          <w:tcPr>
            <w:tcW w:w="6052" w:type="dxa"/>
            <w:shd w:val="clear" w:color="auto" w:fill="auto"/>
            <w:tcMar>
              <w:top w:w="0" w:type="dxa"/>
              <w:bottom w:w="0" w:type="dxa"/>
            </w:tcMar>
            <w:vAlign w:val="center"/>
          </w:tcPr>
          <w:p w14:paraId="08A32B40" w14:textId="38A2973D" w:rsidR="00510E34" w:rsidRDefault="002455ED">
            <w:pPr>
              <w:pBdr>
                <w:top w:val="nil"/>
                <w:left w:val="nil"/>
                <w:bottom w:val="nil"/>
                <w:right w:val="nil"/>
                <w:between w:val="nil"/>
              </w:pBdr>
              <w:spacing w:after="120" w:line="360" w:lineRule="auto"/>
              <w:ind w:firstLine="94"/>
              <w:jc w:val="both"/>
              <w:rPr>
                <w:rFonts w:ascii="Arial" w:eastAsia="Arial" w:hAnsi="Arial" w:cs="Arial"/>
                <w:color w:val="010000"/>
                <w:sz w:val="20"/>
                <w:szCs w:val="20"/>
              </w:rPr>
            </w:pPr>
            <w:r>
              <w:rPr>
                <w:rFonts w:ascii="Arial" w:hAnsi="Arial"/>
                <w:color w:val="010000"/>
                <w:sz w:val="20"/>
              </w:rPr>
              <w:t xml:space="preserve">Intermediate </w:t>
            </w:r>
            <w:r w:rsidR="00C70E19">
              <w:rPr>
                <w:rFonts w:ascii="Arial" w:hAnsi="Arial"/>
                <w:color w:val="010000"/>
                <w:sz w:val="20"/>
              </w:rPr>
              <w:t>education</w:t>
            </w:r>
          </w:p>
          <w:p w14:paraId="76BEEAEC" w14:textId="77777777" w:rsidR="00510E34" w:rsidRDefault="002455ED">
            <w:pPr>
              <w:pBdr>
                <w:top w:val="nil"/>
                <w:left w:val="nil"/>
                <w:bottom w:val="nil"/>
                <w:right w:val="nil"/>
                <w:between w:val="nil"/>
              </w:pBdr>
              <w:spacing w:after="120" w:line="360" w:lineRule="auto"/>
              <w:ind w:firstLine="94"/>
              <w:jc w:val="both"/>
              <w:rPr>
                <w:rFonts w:ascii="Arial" w:eastAsia="Arial" w:hAnsi="Arial" w:cs="Arial"/>
                <w:color w:val="010000"/>
                <w:sz w:val="20"/>
                <w:szCs w:val="20"/>
              </w:rPr>
            </w:pPr>
            <w:r>
              <w:rPr>
                <w:rFonts w:ascii="Arial" w:hAnsi="Arial"/>
                <w:color w:val="010000"/>
                <w:sz w:val="20"/>
              </w:rPr>
              <w:t>(Only operates when all conditions prescribed by law are met)</w:t>
            </w:r>
          </w:p>
        </w:tc>
        <w:tc>
          <w:tcPr>
            <w:tcW w:w="2074" w:type="dxa"/>
            <w:shd w:val="clear" w:color="auto" w:fill="auto"/>
            <w:tcMar>
              <w:top w:w="0" w:type="dxa"/>
              <w:bottom w:w="0" w:type="dxa"/>
            </w:tcMar>
            <w:vAlign w:val="center"/>
          </w:tcPr>
          <w:p w14:paraId="1547542D"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8532</w:t>
            </w:r>
          </w:p>
        </w:tc>
      </w:tr>
      <w:tr w:rsidR="00510E34" w14:paraId="7119B4A6" w14:textId="77777777">
        <w:tc>
          <w:tcPr>
            <w:tcW w:w="891" w:type="dxa"/>
            <w:shd w:val="clear" w:color="auto" w:fill="auto"/>
            <w:tcMar>
              <w:top w:w="0" w:type="dxa"/>
              <w:bottom w:w="0" w:type="dxa"/>
            </w:tcMar>
            <w:vAlign w:val="center"/>
          </w:tcPr>
          <w:p w14:paraId="5F99DF38"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8</w:t>
            </w:r>
          </w:p>
        </w:tc>
        <w:tc>
          <w:tcPr>
            <w:tcW w:w="6052" w:type="dxa"/>
            <w:shd w:val="clear" w:color="auto" w:fill="auto"/>
            <w:tcMar>
              <w:top w:w="0" w:type="dxa"/>
              <w:bottom w:w="0" w:type="dxa"/>
            </w:tcMar>
            <w:vAlign w:val="center"/>
          </w:tcPr>
          <w:p w14:paraId="2D153F63" w14:textId="0563E4E4" w:rsidR="00510E34" w:rsidRDefault="00C70E19">
            <w:pPr>
              <w:pBdr>
                <w:top w:val="nil"/>
                <w:left w:val="nil"/>
                <w:bottom w:val="nil"/>
                <w:right w:val="nil"/>
                <w:between w:val="nil"/>
              </w:pBdr>
              <w:spacing w:after="120" w:line="360" w:lineRule="auto"/>
              <w:ind w:firstLine="94"/>
              <w:jc w:val="both"/>
              <w:rPr>
                <w:rFonts w:ascii="Arial" w:eastAsia="Arial" w:hAnsi="Arial" w:cs="Arial"/>
                <w:color w:val="010000"/>
                <w:sz w:val="20"/>
                <w:szCs w:val="20"/>
              </w:rPr>
            </w:pPr>
            <w:r>
              <w:rPr>
                <w:rFonts w:ascii="Arial" w:hAnsi="Arial"/>
                <w:color w:val="010000"/>
                <w:sz w:val="20"/>
              </w:rPr>
              <w:t>College education</w:t>
            </w:r>
          </w:p>
          <w:p w14:paraId="232D7CDA" w14:textId="77777777" w:rsidR="00510E34" w:rsidRDefault="002455ED">
            <w:pPr>
              <w:spacing w:after="120" w:line="360" w:lineRule="auto"/>
              <w:ind w:firstLine="94"/>
              <w:jc w:val="both"/>
              <w:rPr>
                <w:rFonts w:ascii="Arial" w:eastAsia="Arial" w:hAnsi="Arial" w:cs="Arial"/>
                <w:color w:val="010000"/>
                <w:sz w:val="20"/>
                <w:szCs w:val="20"/>
              </w:rPr>
            </w:pPr>
            <w:r>
              <w:rPr>
                <w:rFonts w:ascii="Arial" w:hAnsi="Arial"/>
                <w:color w:val="010000"/>
                <w:sz w:val="20"/>
              </w:rPr>
              <w:t>(Only operates when all conditions prescribed by law are met)</w:t>
            </w:r>
          </w:p>
        </w:tc>
        <w:tc>
          <w:tcPr>
            <w:tcW w:w="2074" w:type="dxa"/>
            <w:shd w:val="clear" w:color="auto" w:fill="auto"/>
            <w:tcMar>
              <w:top w:w="0" w:type="dxa"/>
              <w:bottom w:w="0" w:type="dxa"/>
            </w:tcMar>
            <w:vAlign w:val="center"/>
          </w:tcPr>
          <w:p w14:paraId="231B8067"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8533</w:t>
            </w:r>
          </w:p>
        </w:tc>
      </w:tr>
      <w:tr w:rsidR="00510E34" w14:paraId="4FC8A856" w14:textId="77777777">
        <w:tc>
          <w:tcPr>
            <w:tcW w:w="891" w:type="dxa"/>
            <w:shd w:val="clear" w:color="auto" w:fill="auto"/>
            <w:tcMar>
              <w:top w:w="0" w:type="dxa"/>
              <w:bottom w:w="0" w:type="dxa"/>
            </w:tcMar>
            <w:vAlign w:val="center"/>
          </w:tcPr>
          <w:p w14:paraId="02343E38"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9</w:t>
            </w:r>
          </w:p>
        </w:tc>
        <w:tc>
          <w:tcPr>
            <w:tcW w:w="6052" w:type="dxa"/>
            <w:shd w:val="clear" w:color="auto" w:fill="auto"/>
            <w:tcMar>
              <w:top w:w="0" w:type="dxa"/>
              <w:bottom w:w="0" w:type="dxa"/>
            </w:tcMar>
            <w:vAlign w:val="center"/>
          </w:tcPr>
          <w:p w14:paraId="29438BD7" w14:textId="257724B5" w:rsidR="00510E34" w:rsidRDefault="00C70E19">
            <w:pPr>
              <w:pBdr>
                <w:top w:val="nil"/>
                <w:left w:val="nil"/>
                <w:bottom w:val="nil"/>
                <w:right w:val="nil"/>
                <w:between w:val="nil"/>
              </w:pBdr>
              <w:spacing w:after="120" w:line="360" w:lineRule="auto"/>
              <w:ind w:firstLine="94"/>
              <w:jc w:val="both"/>
              <w:rPr>
                <w:rFonts w:ascii="Arial" w:eastAsia="Arial" w:hAnsi="Arial" w:cs="Arial"/>
                <w:color w:val="010000"/>
                <w:sz w:val="20"/>
                <w:szCs w:val="20"/>
              </w:rPr>
            </w:pPr>
            <w:r>
              <w:rPr>
                <w:rFonts w:ascii="Arial" w:hAnsi="Arial"/>
                <w:color w:val="010000"/>
                <w:sz w:val="20"/>
              </w:rPr>
              <w:t>Tertiary education</w:t>
            </w:r>
          </w:p>
          <w:p w14:paraId="1F587201" w14:textId="77777777" w:rsidR="00510E34" w:rsidRDefault="002455ED">
            <w:pPr>
              <w:spacing w:after="120" w:line="360" w:lineRule="auto"/>
              <w:ind w:firstLine="94"/>
              <w:jc w:val="both"/>
              <w:rPr>
                <w:rFonts w:ascii="Arial" w:eastAsia="Arial" w:hAnsi="Arial" w:cs="Arial"/>
                <w:color w:val="010000"/>
                <w:sz w:val="20"/>
                <w:szCs w:val="20"/>
              </w:rPr>
            </w:pPr>
            <w:r>
              <w:rPr>
                <w:rFonts w:ascii="Arial" w:hAnsi="Arial"/>
                <w:color w:val="010000"/>
                <w:sz w:val="20"/>
              </w:rPr>
              <w:t>(Only operates when all conditions prescribed by law are met)</w:t>
            </w:r>
          </w:p>
        </w:tc>
        <w:tc>
          <w:tcPr>
            <w:tcW w:w="2074" w:type="dxa"/>
            <w:shd w:val="clear" w:color="auto" w:fill="auto"/>
            <w:tcMar>
              <w:top w:w="0" w:type="dxa"/>
              <w:bottom w:w="0" w:type="dxa"/>
            </w:tcMar>
            <w:vAlign w:val="center"/>
          </w:tcPr>
          <w:p w14:paraId="1F1A5201"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8541</w:t>
            </w:r>
          </w:p>
        </w:tc>
      </w:tr>
      <w:tr w:rsidR="00510E34" w14:paraId="7D87356E" w14:textId="77777777">
        <w:tc>
          <w:tcPr>
            <w:tcW w:w="891" w:type="dxa"/>
            <w:shd w:val="clear" w:color="auto" w:fill="auto"/>
            <w:tcMar>
              <w:top w:w="0" w:type="dxa"/>
              <w:bottom w:w="0" w:type="dxa"/>
            </w:tcMar>
            <w:vAlign w:val="center"/>
          </w:tcPr>
          <w:p w14:paraId="5FEEB904"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10</w:t>
            </w:r>
          </w:p>
        </w:tc>
        <w:tc>
          <w:tcPr>
            <w:tcW w:w="6052" w:type="dxa"/>
            <w:shd w:val="clear" w:color="auto" w:fill="auto"/>
            <w:tcMar>
              <w:top w:w="0" w:type="dxa"/>
              <w:bottom w:w="0" w:type="dxa"/>
            </w:tcMar>
            <w:vAlign w:val="center"/>
          </w:tcPr>
          <w:p w14:paraId="643CBD1F" w14:textId="77777777" w:rsidR="00510E34" w:rsidRDefault="002455ED">
            <w:pPr>
              <w:pBdr>
                <w:top w:val="nil"/>
                <w:left w:val="nil"/>
                <w:bottom w:val="nil"/>
                <w:right w:val="nil"/>
                <w:between w:val="nil"/>
              </w:pBdr>
              <w:spacing w:after="120" w:line="360" w:lineRule="auto"/>
              <w:ind w:firstLine="94"/>
              <w:jc w:val="both"/>
              <w:rPr>
                <w:rFonts w:ascii="Arial" w:eastAsia="Arial" w:hAnsi="Arial" w:cs="Arial"/>
                <w:color w:val="010000"/>
                <w:sz w:val="20"/>
                <w:szCs w:val="20"/>
              </w:rPr>
            </w:pPr>
            <w:r>
              <w:rPr>
                <w:rFonts w:ascii="Arial" w:hAnsi="Arial"/>
                <w:color w:val="010000"/>
                <w:sz w:val="20"/>
              </w:rPr>
              <w:t>Other educational services not yet classified</w:t>
            </w:r>
          </w:p>
          <w:p w14:paraId="093032F8" w14:textId="77777777" w:rsidR="00510E34" w:rsidRDefault="002455ED">
            <w:pPr>
              <w:spacing w:after="120" w:line="360" w:lineRule="auto"/>
              <w:ind w:firstLine="94"/>
              <w:jc w:val="both"/>
              <w:rPr>
                <w:rFonts w:ascii="Arial" w:eastAsia="Arial" w:hAnsi="Arial" w:cs="Arial"/>
                <w:color w:val="010000"/>
                <w:sz w:val="20"/>
                <w:szCs w:val="20"/>
              </w:rPr>
            </w:pPr>
            <w:r>
              <w:rPr>
                <w:rFonts w:ascii="Arial" w:hAnsi="Arial"/>
                <w:color w:val="010000"/>
                <w:sz w:val="20"/>
              </w:rPr>
              <w:t>(Only operates when all conditions prescribed by law are met)</w:t>
            </w:r>
          </w:p>
        </w:tc>
        <w:tc>
          <w:tcPr>
            <w:tcW w:w="2074" w:type="dxa"/>
            <w:shd w:val="clear" w:color="auto" w:fill="auto"/>
            <w:tcMar>
              <w:top w:w="0" w:type="dxa"/>
              <w:bottom w:w="0" w:type="dxa"/>
            </w:tcMar>
            <w:vAlign w:val="center"/>
          </w:tcPr>
          <w:p w14:paraId="19200C5E"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8559</w:t>
            </w:r>
          </w:p>
        </w:tc>
      </w:tr>
    </w:tbl>
    <w:p w14:paraId="4719C182" w14:textId="3AD52A4B" w:rsidR="00510E34" w:rsidRDefault="002455ED" w:rsidP="00C70E19">
      <w:pPr>
        <w:numPr>
          <w:ilvl w:val="0"/>
          <w:numId w:val="2"/>
        </w:num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Amend and supplement </w:t>
      </w:r>
      <w:r w:rsidR="00C70E19">
        <w:rPr>
          <w:rFonts w:ascii="Arial" w:hAnsi="Arial"/>
          <w:color w:val="010000"/>
          <w:sz w:val="20"/>
        </w:rPr>
        <w:t>Section 2</w:t>
      </w:r>
      <w:r>
        <w:rPr>
          <w:rFonts w:ascii="Arial" w:hAnsi="Arial"/>
          <w:color w:val="010000"/>
          <w:sz w:val="20"/>
        </w:rPr>
        <w:t xml:space="preserve"> Article 4 of the Charter of </w:t>
      </w:r>
      <w:proofErr w:type="spellStart"/>
      <w:r>
        <w:rPr>
          <w:rFonts w:ascii="Arial" w:hAnsi="Arial"/>
          <w:color w:val="010000"/>
          <w:sz w:val="20"/>
        </w:rPr>
        <w:t>Legamex</w:t>
      </w:r>
      <w:proofErr w:type="spellEnd"/>
      <w:r>
        <w:rPr>
          <w:rFonts w:ascii="Arial" w:hAnsi="Arial"/>
          <w:color w:val="010000"/>
          <w:sz w:val="20"/>
        </w:rPr>
        <w:t xml:space="preserve"> regarding the Company's business lines according to the content stated in </w:t>
      </w:r>
      <w:r w:rsidR="00C70E19">
        <w:rPr>
          <w:rFonts w:ascii="Arial" w:hAnsi="Arial"/>
          <w:color w:val="010000"/>
          <w:sz w:val="20"/>
        </w:rPr>
        <w:t>Section</w:t>
      </w:r>
      <w:r>
        <w:rPr>
          <w:rFonts w:ascii="Arial" w:hAnsi="Arial"/>
          <w:color w:val="010000"/>
          <w:sz w:val="20"/>
        </w:rPr>
        <w:t xml:space="preserve"> 1 of this Article.</w:t>
      </w:r>
    </w:p>
    <w:p w14:paraId="42217E81" w14:textId="77777777" w:rsidR="00510E34" w:rsidRDefault="002455ED" w:rsidP="00C70E1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Assign the legal representative to sign and promulgate the Charter of </w:t>
      </w:r>
      <w:proofErr w:type="spellStart"/>
      <w:r>
        <w:rPr>
          <w:rFonts w:ascii="Arial" w:hAnsi="Arial"/>
          <w:color w:val="010000"/>
          <w:sz w:val="20"/>
        </w:rPr>
        <w:t>Legamex</w:t>
      </w:r>
      <w:proofErr w:type="spellEnd"/>
      <w:r>
        <w:rPr>
          <w:rFonts w:ascii="Arial" w:hAnsi="Arial"/>
          <w:color w:val="010000"/>
          <w:sz w:val="20"/>
        </w:rPr>
        <w:t xml:space="preserve"> after supplement business lines.</w:t>
      </w:r>
    </w:p>
    <w:p w14:paraId="19FEF262" w14:textId="5CB6B3BA" w:rsidR="00510E34" w:rsidRDefault="002455ED" w:rsidP="00C70E19">
      <w:pPr>
        <w:numPr>
          <w:ilvl w:val="0"/>
          <w:numId w:val="2"/>
        </w:num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Assign the legal representative of the Company to make adjustments to the detailed content of the above additional registered business lines to suit the requirements of the competent state agency (in case the competent state agency requests something different from the detailed content of the additional registered business lines mentioned in </w:t>
      </w:r>
      <w:r w:rsidR="00C70E19">
        <w:rPr>
          <w:rFonts w:ascii="Arial" w:hAnsi="Arial"/>
          <w:color w:val="010000"/>
          <w:sz w:val="20"/>
        </w:rPr>
        <w:t>Section</w:t>
      </w:r>
      <w:r>
        <w:rPr>
          <w:rFonts w:ascii="Arial" w:hAnsi="Arial"/>
          <w:color w:val="010000"/>
          <w:sz w:val="20"/>
        </w:rPr>
        <w:t xml:space="preserve"> 1 of this Article).</w:t>
      </w:r>
    </w:p>
    <w:p w14:paraId="64A55312" w14:textId="4424A5B5" w:rsidR="00510E34" w:rsidRDefault="002455ED" w:rsidP="00C70E19">
      <w:pPr>
        <w:numPr>
          <w:ilvl w:val="0"/>
          <w:numId w:val="2"/>
        </w:num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Assign the Legal Representative to carry out procedures for registering changes to the business registration content of Leather Footwear and Garment Making Exporting Corporation (</w:t>
      </w:r>
      <w:proofErr w:type="spellStart"/>
      <w:r>
        <w:rPr>
          <w:rFonts w:ascii="Arial" w:hAnsi="Arial"/>
          <w:color w:val="010000"/>
          <w:sz w:val="20"/>
        </w:rPr>
        <w:t>Legamex</w:t>
      </w:r>
      <w:proofErr w:type="spellEnd"/>
      <w:r>
        <w:rPr>
          <w:rFonts w:ascii="Arial" w:hAnsi="Arial"/>
          <w:color w:val="010000"/>
          <w:sz w:val="20"/>
        </w:rPr>
        <w:t xml:space="preserve">) with competent state agencies </w:t>
      </w:r>
      <w:r w:rsidR="00C70E19">
        <w:rPr>
          <w:rFonts w:ascii="Arial" w:hAnsi="Arial"/>
          <w:color w:val="010000"/>
          <w:sz w:val="20"/>
        </w:rPr>
        <w:t>under applicable laws</w:t>
      </w:r>
      <w:r>
        <w:rPr>
          <w:rFonts w:ascii="Arial" w:hAnsi="Arial"/>
          <w:color w:val="010000"/>
          <w:sz w:val="20"/>
        </w:rPr>
        <w:t>.</w:t>
      </w:r>
    </w:p>
    <w:p w14:paraId="3570BF98" w14:textId="7F85F51A" w:rsidR="00510E34" w:rsidRDefault="002455ED" w:rsidP="00C70E1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9. Regarding the approval of the policy of cooperation in implementing the Fashion Center - Commerce - Service - Office Building Project at No. 106, 3/</w:t>
      </w:r>
      <w:r w:rsidR="00C70E19">
        <w:rPr>
          <w:rFonts w:ascii="Arial" w:hAnsi="Arial"/>
          <w:color w:val="010000"/>
          <w:sz w:val="20"/>
        </w:rPr>
        <w:t>2 Road</w:t>
      </w:r>
      <w:r>
        <w:rPr>
          <w:rFonts w:ascii="Arial" w:hAnsi="Arial"/>
          <w:color w:val="010000"/>
          <w:sz w:val="20"/>
        </w:rPr>
        <w:t>, Ward 14, District 10, Ho Chi Minh City.</w:t>
      </w:r>
    </w:p>
    <w:p w14:paraId="4172ECD5" w14:textId="77777777" w:rsidR="00510E34" w:rsidRDefault="002455ED">
      <w:pPr>
        <w:numPr>
          <w:ilvl w:val="0"/>
          <w:numId w:val="5"/>
        </w:numPr>
        <w:pBdr>
          <w:top w:val="nil"/>
          <w:left w:val="nil"/>
          <w:bottom w:val="nil"/>
          <w:right w:val="nil"/>
          <w:between w:val="nil"/>
        </w:pBdr>
        <w:spacing w:after="120" w:line="360" w:lineRule="auto"/>
        <w:ind w:left="0" w:firstLine="0"/>
        <w:rPr>
          <w:rFonts w:ascii="Arial" w:eastAsia="Arial" w:hAnsi="Arial" w:cs="Arial"/>
          <w:color w:val="010000"/>
          <w:sz w:val="20"/>
          <w:szCs w:val="20"/>
        </w:rPr>
      </w:pPr>
      <w:r>
        <w:rPr>
          <w:rFonts w:ascii="Arial" w:hAnsi="Arial"/>
          <w:color w:val="010000"/>
          <w:sz w:val="20"/>
        </w:rPr>
        <w:lastRenderedPageBreak/>
        <w:t>Agree on the policy of Leather Footwear and Garment Making Exporting Corporation (</w:t>
      </w:r>
      <w:proofErr w:type="spellStart"/>
      <w:r>
        <w:rPr>
          <w:rFonts w:ascii="Arial" w:hAnsi="Arial"/>
          <w:color w:val="010000"/>
          <w:sz w:val="20"/>
        </w:rPr>
        <w:t>Legamex</w:t>
      </w:r>
      <w:proofErr w:type="spellEnd"/>
      <w:r>
        <w:rPr>
          <w:rFonts w:ascii="Arial" w:hAnsi="Arial"/>
          <w:color w:val="010000"/>
          <w:sz w:val="20"/>
        </w:rPr>
        <w:t>) to cooperate in implementing the Fashion Center - Commerce - Service - Office Building Project at land number 106 Ba Thang Hai Street, Ward 14, District 10, Ho Chi Minh City. This policy replaces the policy in Article 10 of Resolution No. 04/NQ-DHDCD/NK3 dated December 28, 2018.</w:t>
      </w:r>
    </w:p>
    <w:p w14:paraId="70F46D36" w14:textId="77777777" w:rsidR="00510E34" w:rsidRDefault="002455ED">
      <w:pPr>
        <w:numPr>
          <w:ilvl w:val="0"/>
          <w:numId w:val="5"/>
        </w:numPr>
        <w:pBdr>
          <w:top w:val="nil"/>
          <w:left w:val="nil"/>
          <w:bottom w:val="nil"/>
          <w:right w:val="nil"/>
          <w:between w:val="nil"/>
        </w:pBdr>
        <w:spacing w:after="120" w:line="360" w:lineRule="auto"/>
        <w:ind w:left="0" w:firstLine="0"/>
        <w:rPr>
          <w:rFonts w:ascii="Arial" w:eastAsia="Arial" w:hAnsi="Arial" w:cs="Arial"/>
          <w:color w:val="010000"/>
          <w:sz w:val="20"/>
          <w:szCs w:val="20"/>
        </w:rPr>
      </w:pPr>
      <w:r>
        <w:rPr>
          <w:rFonts w:ascii="Arial" w:hAnsi="Arial"/>
          <w:color w:val="010000"/>
          <w:sz w:val="20"/>
        </w:rPr>
        <w:t>Assign and authorize the Board of Directors to decide on the selection of new partner(s) and all related issues to cooperate in implementing the Project to bring efficiency to the Company.</w:t>
      </w:r>
    </w:p>
    <w:p w14:paraId="6C0E958B" w14:textId="77777777" w:rsidR="00510E34" w:rsidRDefault="002455ED">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Article 10. Regarding the approval of the transfer of shares of Leather Footwear and Garment Making Exporting Corporation (</w:t>
      </w:r>
      <w:proofErr w:type="spellStart"/>
      <w:r>
        <w:rPr>
          <w:rFonts w:ascii="Arial" w:hAnsi="Arial"/>
          <w:color w:val="010000"/>
          <w:sz w:val="20"/>
        </w:rPr>
        <w:t>Legamex</w:t>
      </w:r>
      <w:proofErr w:type="spellEnd"/>
      <w:r>
        <w:rPr>
          <w:rFonts w:ascii="Arial" w:hAnsi="Arial"/>
          <w:color w:val="010000"/>
          <w:sz w:val="20"/>
        </w:rPr>
        <w:t>) without having to make a public bid.</w:t>
      </w:r>
    </w:p>
    <w:p w14:paraId="068BE91D" w14:textId="6894CCC4" w:rsidR="00510E34" w:rsidRDefault="002455ED">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 xml:space="preserve">Approve the transferee (according to section 1 below) to receive the transfer of </w:t>
      </w:r>
      <w:proofErr w:type="spellStart"/>
      <w:r>
        <w:rPr>
          <w:rFonts w:ascii="Arial" w:hAnsi="Arial"/>
          <w:color w:val="010000"/>
          <w:sz w:val="20"/>
        </w:rPr>
        <w:t>Legamex</w:t>
      </w:r>
      <w:proofErr w:type="spellEnd"/>
      <w:r>
        <w:rPr>
          <w:rFonts w:ascii="Arial" w:hAnsi="Arial"/>
          <w:color w:val="010000"/>
          <w:sz w:val="20"/>
        </w:rPr>
        <w:t xml:space="preserve"> shares from the transferor (according to the list of section 2 below) resulting in ownership reaching the levels specified in Points </w:t>
      </w:r>
      <w:proofErr w:type="gramStart"/>
      <w:r>
        <w:rPr>
          <w:rFonts w:ascii="Arial" w:hAnsi="Arial"/>
          <w:color w:val="010000"/>
          <w:sz w:val="20"/>
        </w:rPr>
        <w:t>a</w:t>
      </w:r>
      <w:proofErr w:type="gramEnd"/>
      <w:r>
        <w:rPr>
          <w:rFonts w:ascii="Arial" w:hAnsi="Arial"/>
          <w:color w:val="010000"/>
          <w:sz w:val="20"/>
        </w:rPr>
        <w:t xml:space="preserve"> and </w:t>
      </w:r>
      <w:r w:rsidR="00C70E19">
        <w:rPr>
          <w:rFonts w:ascii="Arial" w:hAnsi="Arial"/>
          <w:color w:val="010000"/>
          <w:sz w:val="20"/>
        </w:rPr>
        <w:t>b</w:t>
      </w:r>
      <w:r>
        <w:rPr>
          <w:rFonts w:ascii="Arial" w:hAnsi="Arial"/>
          <w:color w:val="010000"/>
          <w:sz w:val="20"/>
        </w:rPr>
        <w:t xml:space="preserve"> </w:t>
      </w:r>
      <w:r w:rsidR="00C70E19">
        <w:rPr>
          <w:rFonts w:ascii="Arial" w:hAnsi="Arial"/>
          <w:color w:val="010000"/>
          <w:sz w:val="20"/>
        </w:rPr>
        <w:t>Section 1</w:t>
      </w:r>
      <w:r>
        <w:rPr>
          <w:rFonts w:ascii="Arial" w:hAnsi="Arial"/>
          <w:color w:val="010000"/>
          <w:sz w:val="20"/>
        </w:rPr>
        <w:t xml:space="preserve"> Article 35 of the Law on Securities 2019 without having to make a public bid, specifically as follows:</w:t>
      </w:r>
    </w:p>
    <w:p w14:paraId="407ABB80" w14:textId="77777777" w:rsidR="00510E34" w:rsidRDefault="002455ED">
      <w:pPr>
        <w:numPr>
          <w:ilvl w:val="0"/>
          <w:numId w:val="6"/>
        </w:numPr>
        <w:pBdr>
          <w:top w:val="nil"/>
          <w:left w:val="nil"/>
          <w:bottom w:val="nil"/>
          <w:right w:val="nil"/>
          <w:between w:val="nil"/>
        </w:pBdr>
        <w:tabs>
          <w:tab w:val="left" w:pos="567"/>
        </w:tabs>
        <w:spacing w:after="120" w:line="360" w:lineRule="auto"/>
        <w:ind w:left="567" w:hanging="567"/>
        <w:rPr>
          <w:rFonts w:ascii="Arial" w:eastAsia="Arial" w:hAnsi="Arial" w:cs="Arial"/>
          <w:color w:val="010000"/>
          <w:sz w:val="20"/>
          <w:szCs w:val="20"/>
        </w:rPr>
      </w:pPr>
      <w:r>
        <w:rPr>
          <w:rFonts w:ascii="Arial" w:hAnsi="Arial"/>
          <w:color w:val="010000"/>
          <w:sz w:val="20"/>
        </w:rPr>
        <w:t>Transferee:</w:t>
      </w:r>
    </w:p>
    <w:p w14:paraId="3F77FFA8" w14:textId="77777777" w:rsidR="00510E34" w:rsidRDefault="002455ED">
      <w:pPr>
        <w:numPr>
          <w:ilvl w:val="0"/>
          <w:numId w:val="10"/>
        </w:numPr>
        <w:pBdr>
          <w:top w:val="nil"/>
          <w:left w:val="nil"/>
          <w:bottom w:val="nil"/>
          <w:right w:val="nil"/>
          <w:between w:val="nil"/>
        </w:pBdr>
        <w:tabs>
          <w:tab w:val="left" w:pos="284"/>
        </w:tabs>
        <w:spacing w:after="120" w:line="360" w:lineRule="auto"/>
        <w:rPr>
          <w:rFonts w:ascii="Arial" w:eastAsia="Arial" w:hAnsi="Arial" w:cs="Arial"/>
          <w:color w:val="010000"/>
          <w:sz w:val="20"/>
          <w:szCs w:val="20"/>
        </w:rPr>
      </w:pPr>
      <w:r>
        <w:rPr>
          <w:rFonts w:ascii="Arial" w:hAnsi="Arial"/>
          <w:color w:val="010000"/>
          <w:sz w:val="20"/>
        </w:rPr>
        <w:t>Name of Company: Ha Nam Textile and Garment Trading Company Limited</w:t>
      </w:r>
    </w:p>
    <w:p w14:paraId="7997A7EB" w14:textId="46E3A3D1" w:rsidR="00510E34" w:rsidRDefault="002455ED">
      <w:pPr>
        <w:numPr>
          <w:ilvl w:val="0"/>
          <w:numId w:val="10"/>
        </w:numPr>
        <w:pBdr>
          <w:top w:val="nil"/>
          <w:left w:val="nil"/>
          <w:bottom w:val="nil"/>
          <w:right w:val="nil"/>
          <w:between w:val="nil"/>
        </w:pBdr>
        <w:tabs>
          <w:tab w:val="left" w:pos="284"/>
        </w:tabs>
        <w:spacing w:after="120" w:line="360" w:lineRule="auto"/>
        <w:rPr>
          <w:rFonts w:ascii="Arial" w:eastAsia="Arial" w:hAnsi="Arial" w:cs="Arial"/>
          <w:color w:val="010000"/>
          <w:sz w:val="20"/>
          <w:szCs w:val="20"/>
        </w:rPr>
      </w:pPr>
      <w:r>
        <w:rPr>
          <w:rFonts w:ascii="Arial" w:hAnsi="Arial"/>
          <w:color w:val="010000"/>
          <w:sz w:val="20"/>
        </w:rPr>
        <w:t xml:space="preserve">Address: 265 </w:t>
      </w:r>
      <w:proofErr w:type="spellStart"/>
      <w:r>
        <w:rPr>
          <w:rFonts w:ascii="Arial" w:hAnsi="Arial"/>
          <w:color w:val="010000"/>
          <w:sz w:val="20"/>
        </w:rPr>
        <w:t>Dien</w:t>
      </w:r>
      <w:proofErr w:type="spellEnd"/>
      <w:r>
        <w:rPr>
          <w:rFonts w:ascii="Arial" w:hAnsi="Arial"/>
          <w:color w:val="010000"/>
          <w:sz w:val="20"/>
        </w:rPr>
        <w:t xml:space="preserve"> Bien </w:t>
      </w:r>
      <w:proofErr w:type="spellStart"/>
      <w:r>
        <w:rPr>
          <w:rFonts w:ascii="Arial" w:hAnsi="Arial"/>
          <w:color w:val="010000"/>
          <w:sz w:val="20"/>
        </w:rPr>
        <w:t>Phu</w:t>
      </w:r>
      <w:proofErr w:type="spellEnd"/>
      <w:r w:rsidR="00C70E19">
        <w:rPr>
          <w:rFonts w:ascii="Arial" w:hAnsi="Arial"/>
          <w:color w:val="010000"/>
          <w:sz w:val="20"/>
        </w:rPr>
        <w:t xml:space="preserve"> Road</w:t>
      </w:r>
      <w:r>
        <w:rPr>
          <w:rFonts w:ascii="Arial" w:hAnsi="Arial"/>
          <w:color w:val="010000"/>
          <w:sz w:val="20"/>
        </w:rPr>
        <w:t xml:space="preserve">, Vo Thi </w:t>
      </w:r>
      <w:proofErr w:type="spellStart"/>
      <w:r>
        <w:rPr>
          <w:rFonts w:ascii="Arial" w:hAnsi="Arial"/>
          <w:color w:val="010000"/>
          <w:sz w:val="20"/>
        </w:rPr>
        <w:t>Sau</w:t>
      </w:r>
      <w:proofErr w:type="spellEnd"/>
      <w:r>
        <w:rPr>
          <w:rFonts w:ascii="Arial" w:hAnsi="Arial"/>
          <w:color w:val="010000"/>
          <w:sz w:val="20"/>
        </w:rPr>
        <w:t xml:space="preserve"> Ward, District 3, Ho Chi Minh City</w:t>
      </w:r>
    </w:p>
    <w:p w14:paraId="4A11E50C" w14:textId="77777777" w:rsidR="00510E34" w:rsidRDefault="002455ED">
      <w:pPr>
        <w:numPr>
          <w:ilvl w:val="0"/>
          <w:numId w:val="10"/>
        </w:numPr>
        <w:pBdr>
          <w:top w:val="nil"/>
          <w:left w:val="nil"/>
          <w:bottom w:val="nil"/>
          <w:right w:val="nil"/>
          <w:between w:val="nil"/>
        </w:pBdr>
        <w:tabs>
          <w:tab w:val="left" w:pos="284"/>
          <w:tab w:val="left" w:pos="792"/>
        </w:tabs>
        <w:spacing w:after="120" w:line="360" w:lineRule="auto"/>
        <w:rPr>
          <w:rFonts w:ascii="Arial" w:eastAsia="Arial" w:hAnsi="Arial" w:cs="Arial"/>
          <w:color w:val="010000"/>
          <w:sz w:val="20"/>
          <w:szCs w:val="20"/>
        </w:rPr>
      </w:pPr>
      <w:r>
        <w:rPr>
          <w:rFonts w:ascii="Arial" w:hAnsi="Arial"/>
          <w:color w:val="010000"/>
          <w:sz w:val="20"/>
        </w:rPr>
        <w:t>Business Registration Certificate No. 0318369871 issued on March 25, 2024 by the Department of Planning and Investment of Ho Chi Minh City.</w:t>
      </w:r>
    </w:p>
    <w:p w14:paraId="2B8CCECF" w14:textId="77777777" w:rsidR="00510E34" w:rsidRDefault="002455ED">
      <w:pPr>
        <w:numPr>
          <w:ilvl w:val="0"/>
          <w:numId w:val="10"/>
        </w:numPr>
        <w:pBdr>
          <w:top w:val="nil"/>
          <w:left w:val="nil"/>
          <w:bottom w:val="nil"/>
          <w:right w:val="nil"/>
          <w:between w:val="nil"/>
        </w:pBdr>
        <w:tabs>
          <w:tab w:val="left" w:pos="284"/>
        </w:tabs>
        <w:spacing w:after="120" w:line="360" w:lineRule="auto"/>
        <w:rPr>
          <w:rFonts w:ascii="Arial" w:eastAsia="Arial" w:hAnsi="Arial" w:cs="Arial"/>
          <w:color w:val="010000"/>
          <w:sz w:val="20"/>
          <w:szCs w:val="20"/>
        </w:rPr>
      </w:pPr>
      <w:r>
        <w:rPr>
          <w:rFonts w:ascii="Arial" w:hAnsi="Arial"/>
          <w:color w:val="010000"/>
          <w:sz w:val="20"/>
        </w:rPr>
        <w:t xml:space="preserve">Number of shares owned at </w:t>
      </w:r>
      <w:proofErr w:type="spellStart"/>
      <w:r>
        <w:rPr>
          <w:rFonts w:ascii="Arial" w:hAnsi="Arial"/>
          <w:color w:val="010000"/>
          <w:sz w:val="20"/>
        </w:rPr>
        <w:t>Legamex</w:t>
      </w:r>
      <w:proofErr w:type="spellEnd"/>
      <w:r>
        <w:rPr>
          <w:rFonts w:ascii="Arial" w:hAnsi="Arial"/>
          <w:color w:val="010000"/>
          <w:sz w:val="20"/>
        </w:rPr>
        <w:t>: 0 share.</w:t>
      </w:r>
    </w:p>
    <w:p w14:paraId="53E69FAF" w14:textId="77777777" w:rsidR="00510E34" w:rsidRDefault="002455ED">
      <w:pPr>
        <w:numPr>
          <w:ilvl w:val="0"/>
          <w:numId w:val="10"/>
        </w:numPr>
        <w:pBdr>
          <w:top w:val="nil"/>
          <w:left w:val="nil"/>
          <w:bottom w:val="nil"/>
          <w:right w:val="nil"/>
          <w:between w:val="nil"/>
        </w:pBdr>
        <w:tabs>
          <w:tab w:val="left" w:pos="284"/>
        </w:tabs>
        <w:spacing w:after="120" w:line="360" w:lineRule="auto"/>
        <w:rPr>
          <w:rFonts w:ascii="Arial" w:eastAsia="Arial" w:hAnsi="Arial" w:cs="Arial"/>
          <w:color w:val="010000"/>
          <w:sz w:val="20"/>
          <w:szCs w:val="20"/>
        </w:rPr>
      </w:pPr>
      <w:r>
        <w:rPr>
          <w:rFonts w:ascii="Arial" w:hAnsi="Arial"/>
          <w:color w:val="010000"/>
          <w:sz w:val="20"/>
        </w:rPr>
        <w:t xml:space="preserve">Number of shares transferred: 5,377,634 shares, accounting for 72.67% of the total voting shares of </w:t>
      </w:r>
      <w:proofErr w:type="spellStart"/>
      <w:r>
        <w:rPr>
          <w:rFonts w:ascii="Arial" w:hAnsi="Arial"/>
          <w:color w:val="010000"/>
          <w:sz w:val="20"/>
        </w:rPr>
        <w:t>Legamex</w:t>
      </w:r>
      <w:proofErr w:type="spellEnd"/>
      <w:r>
        <w:rPr>
          <w:rFonts w:ascii="Arial" w:hAnsi="Arial"/>
          <w:color w:val="010000"/>
          <w:sz w:val="20"/>
        </w:rPr>
        <w:t>.</w:t>
      </w:r>
    </w:p>
    <w:p w14:paraId="5188D729" w14:textId="77777777" w:rsidR="00510E34" w:rsidRDefault="002455ED">
      <w:pPr>
        <w:numPr>
          <w:ilvl w:val="0"/>
          <w:numId w:val="6"/>
        </w:numPr>
        <w:pBdr>
          <w:top w:val="nil"/>
          <w:left w:val="nil"/>
          <w:bottom w:val="nil"/>
          <w:right w:val="nil"/>
          <w:between w:val="nil"/>
        </w:pBdr>
        <w:tabs>
          <w:tab w:val="left" w:pos="567"/>
        </w:tabs>
        <w:spacing w:after="120" w:line="360" w:lineRule="auto"/>
        <w:ind w:left="567" w:hanging="567"/>
        <w:rPr>
          <w:rFonts w:ascii="Arial" w:eastAsia="Arial" w:hAnsi="Arial" w:cs="Arial"/>
          <w:color w:val="010000"/>
          <w:sz w:val="20"/>
          <w:szCs w:val="20"/>
        </w:rPr>
      </w:pPr>
      <w:r>
        <w:rPr>
          <w:rFonts w:ascii="Arial" w:hAnsi="Arial"/>
          <w:color w:val="010000"/>
          <w:sz w:val="20"/>
        </w:rPr>
        <w:t>Transferor:</w:t>
      </w:r>
    </w:p>
    <w:tbl>
      <w:tblPr>
        <w:tblStyle w:val="a3"/>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8"/>
        <w:gridCol w:w="2352"/>
        <w:gridCol w:w="1508"/>
        <w:gridCol w:w="1111"/>
        <w:gridCol w:w="1014"/>
        <w:gridCol w:w="1062"/>
        <w:gridCol w:w="1122"/>
      </w:tblGrid>
      <w:tr w:rsidR="00510E34" w14:paraId="7E7E0737" w14:textId="77777777">
        <w:tc>
          <w:tcPr>
            <w:tcW w:w="848" w:type="dxa"/>
            <w:shd w:val="clear" w:color="auto" w:fill="auto"/>
            <w:tcMar>
              <w:top w:w="0" w:type="dxa"/>
              <w:bottom w:w="0" w:type="dxa"/>
            </w:tcMar>
            <w:vAlign w:val="center"/>
          </w:tcPr>
          <w:p w14:paraId="09B330E4"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No.</w:t>
            </w:r>
          </w:p>
        </w:tc>
        <w:tc>
          <w:tcPr>
            <w:tcW w:w="2352" w:type="dxa"/>
            <w:shd w:val="clear" w:color="auto" w:fill="auto"/>
            <w:tcMar>
              <w:top w:w="0" w:type="dxa"/>
              <w:bottom w:w="0" w:type="dxa"/>
            </w:tcMar>
            <w:vAlign w:val="center"/>
          </w:tcPr>
          <w:p w14:paraId="3A674B02"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Name of shareholder</w:t>
            </w:r>
          </w:p>
        </w:tc>
        <w:tc>
          <w:tcPr>
            <w:tcW w:w="1508" w:type="dxa"/>
            <w:shd w:val="clear" w:color="auto" w:fill="auto"/>
            <w:tcMar>
              <w:top w:w="0" w:type="dxa"/>
              <w:bottom w:w="0" w:type="dxa"/>
            </w:tcMar>
            <w:vAlign w:val="center"/>
          </w:tcPr>
          <w:p w14:paraId="27B55DB3"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ID Card/Passport:</w:t>
            </w:r>
          </w:p>
        </w:tc>
        <w:tc>
          <w:tcPr>
            <w:tcW w:w="1111" w:type="dxa"/>
            <w:shd w:val="clear" w:color="auto" w:fill="auto"/>
            <w:tcMar>
              <w:top w:w="0" w:type="dxa"/>
              <w:bottom w:w="0" w:type="dxa"/>
            </w:tcMar>
            <w:vAlign w:val="center"/>
          </w:tcPr>
          <w:p w14:paraId="73D86AED"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Date of issue</w:t>
            </w:r>
          </w:p>
        </w:tc>
        <w:tc>
          <w:tcPr>
            <w:tcW w:w="1014" w:type="dxa"/>
            <w:shd w:val="clear" w:color="auto" w:fill="auto"/>
            <w:tcMar>
              <w:top w:w="0" w:type="dxa"/>
              <w:bottom w:w="0" w:type="dxa"/>
            </w:tcMar>
            <w:vAlign w:val="center"/>
          </w:tcPr>
          <w:p w14:paraId="508AEA33"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Place of issue</w:t>
            </w:r>
          </w:p>
        </w:tc>
        <w:tc>
          <w:tcPr>
            <w:tcW w:w="1062" w:type="dxa"/>
            <w:shd w:val="clear" w:color="auto" w:fill="auto"/>
            <w:tcMar>
              <w:top w:w="0" w:type="dxa"/>
              <w:bottom w:w="0" w:type="dxa"/>
            </w:tcMar>
            <w:vAlign w:val="center"/>
          </w:tcPr>
          <w:p w14:paraId="7C479A23"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Number of owned shares</w:t>
            </w:r>
          </w:p>
        </w:tc>
        <w:tc>
          <w:tcPr>
            <w:tcW w:w="1122" w:type="dxa"/>
            <w:shd w:val="clear" w:color="auto" w:fill="auto"/>
            <w:tcMar>
              <w:top w:w="0" w:type="dxa"/>
              <w:bottom w:w="0" w:type="dxa"/>
            </w:tcMar>
            <w:vAlign w:val="center"/>
          </w:tcPr>
          <w:p w14:paraId="61F13B55"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Number of shares expected to be transferred</w:t>
            </w:r>
          </w:p>
        </w:tc>
      </w:tr>
      <w:tr w:rsidR="00510E34" w14:paraId="72831168" w14:textId="77777777">
        <w:tc>
          <w:tcPr>
            <w:tcW w:w="848" w:type="dxa"/>
            <w:shd w:val="clear" w:color="auto" w:fill="auto"/>
            <w:tcMar>
              <w:top w:w="0" w:type="dxa"/>
              <w:bottom w:w="0" w:type="dxa"/>
            </w:tcMar>
            <w:vAlign w:val="center"/>
          </w:tcPr>
          <w:p w14:paraId="43E7B2EE"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w:t>
            </w:r>
          </w:p>
        </w:tc>
        <w:tc>
          <w:tcPr>
            <w:tcW w:w="2352" w:type="dxa"/>
            <w:shd w:val="clear" w:color="auto" w:fill="auto"/>
            <w:tcMar>
              <w:top w:w="0" w:type="dxa"/>
              <w:bottom w:w="0" w:type="dxa"/>
            </w:tcMar>
            <w:vAlign w:val="center"/>
          </w:tcPr>
          <w:p w14:paraId="2AC8284F" w14:textId="77777777" w:rsidR="00510E34" w:rsidRDefault="002455ED">
            <w:pPr>
              <w:pBdr>
                <w:top w:val="nil"/>
                <w:left w:val="nil"/>
                <w:bottom w:val="nil"/>
                <w:right w:val="nil"/>
                <w:between w:val="nil"/>
              </w:pBdr>
              <w:spacing w:after="120" w:line="360" w:lineRule="auto"/>
              <w:ind w:left="124"/>
              <w:rPr>
                <w:rFonts w:ascii="Arial" w:eastAsia="Arial" w:hAnsi="Arial" w:cs="Arial"/>
                <w:color w:val="010000"/>
                <w:sz w:val="20"/>
                <w:szCs w:val="20"/>
              </w:rPr>
            </w:pPr>
            <w:r>
              <w:rPr>
                <w:rFonts w:ascii="Arial" w:hAnsi="Arial"/>
                <w:color w:val="010000"/>
                <w:sz w:val="20"/>
              </w:rPr>
              <w:t xml:space="preserve">Du Nguyen </w:t>
            </w:r>
            <w:proofErr w:type="spellStart"/>
            <w:r>
              <w:rPr>
                <w:rFonts w:ascii="Arial" w:hAnsi="Arial"/>
                <w:color w:val="010000"/>
                <w:sz w:val="20"/>
              </w:rPr>
              <w:t>Khanh</w:t>
            </w:r>
            <w:proofErr w:type="spellEnd"/>
            <w:r>
              <w:rPr>
                <w:rFonts w:ascii="Arial" w:hAnsi="Arial"/>
                <w:color w:val="010000"/>
                <w:sz w:val="20"/>
              </w:rPr>
              <w:t xml:space="preserve"> Linh</w:t>
            </w:r>
          </w:p>
        </w:tc>
        <w:tc>
          <w:tcPr>
            <w:tcW w:w="1508" w:type="dxa"/>
            <w:shd w:val="clear" w:color="auto" w:fill="auto"/>
            <w:tcMar>
              <w:top w:w="0" w:type="dxa"/>
              <w:bottom w:w="0" w:type="dxa"/>
            </w:tcMar>
            <w:vAlign w:val="center"/>
          </w:tcPr>
          <w:p w14:paraId="5BBF1BFD" w14:textId="77777777" w:rsidR="00510E34" w:rsidRDefault="00510E34">
            <w:pPr>
              <w:spacing w:after="120" w:line="360" w:lineRule="auto"/>
              <w:jc w:val="center"/>
              <w:rPr>
                <w:rFonts w:ascii="Arial" w:eastAsia="Arial" w:hAnsi="Arial" w:cs="Arial"/>
                <w:color w:val="010000"/>
                <w:sz w:val="20"/>
                <w:szCs w:val="20"/>
              </w:rPr>
            </w:pPr>
          </w:p>
        </w:tc>
        <w:tc>
          <w:tcPr>
            <w:tcW w:w="1111" w:type="dxa"/>
            <w:shd w:val="clear" w:color="auto" w:fill="auto"/>
            <w:tcMar>
              <w:top w:w="0" w:type="dxa"/>
              <w:bottom w:w="0" w:type="dxa"/>
            </w:tcMar>
            <w:vAlign w:val="center"/>
          </w:tcPr>
          <w:p w14:paraId="4DA1A914" w14:textId="77777777" w:rsidR="00510E34" w:rsidRDefault="00510E34">
            <w:pPr>
              <w:spacing w:after="120" w:line="360" w:lineRule="auto"/>
              <w:jc w:val="center"/>
              <w:rPr>
                <w:rFonts w:ascii="Arial" w:eastAsia="Arial" w:hAnsi="Arial" w:cs="Arial"/>
                <w:color w:val="010000"/>
                <w:sz w:val="20"/>
                <w:szCs w:val="20"/>
              </w:rPr>
            </w:pPr>
          </w:p>
        </w:tc>
        <w:tc>
          <w:tcPr>
            <w:tcW w:w="1014" w:type="dxa"/>
            <w:shd w:val="clear" w:color="auto" w:fill="auto"/>
            <w:tcMar>
              <w:top w:w="0" w:type="dxa"/>
              <w:bottom w:w="0" w:type="dxa"/>
            </w:tcMar>
            <w:vAlign w:val="center"/>
          </w:tcPr>
          <w:p w14:paraId="4DE03AE2" w14:textId="77777777" w:rsidR="00510E34" w:rsidRDefault="00510E34">
            <w:pPr>
              <w:spacing w:after="120" w:line="360" w:lineRule="auto"/>
              <w:jc w:val="center"/>
              <w:rPr>
                <w:rFonts w:ascii="Arial" w:eastAsia="Arial" w:hAnsi="Arial" w:cs="Arial"/>
                <w:color w:val="010000"/>
                <w:sz w:val="20"/>
                <w:szCs w:val="20"/>
              </w:rPr>
            </w:pPr>
          </w:p>
        </w:tc>
        <w:tc>
          <w:tcPr>
            <w:tcW w:w="1062" w:type="dxa"/>
            <w:shd w:val="clear" w:color="auto" w:fill="auto"/>
            <w:tcMar>
              <w:top w:w="0" w:type="dxa"/>
              <w:bottom w:w="0" w:type="dxa"/>
            </w:tcMar>
            <w:vAlign w:val="center"/>
          </w:tcPr>
          <w:p w14:paraId="2E3FC90B"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1,685,034</w:t>
            </w:r>
          </w:p>
        </w:tc>
        <w:tc>
          <w:tcPr>
            <w:tcW w:w="1122" w:type="dxa"/>
            <w:shd w:val="clear" w:color="auto" w:fill="auto"/>
            <w:tcMar>
              <w:top w:w="0" w:type="dxa"/>
              <w:bottom w:w="0" w:type="dxa"/>
            </w:tcMar>
            <w:vAlign w:val="center"/>
          </w:tcPr>
          <w:p w14:paraId="601075C6"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1,685,034</w:t>
            </w:r>
          </w:p>
        </w:tc>
      </w:tr>
      <w:tr w:rsidR="00510E34" w14:paraId="392CB59C" w14:textId="77777777">
        <w:tc>
          <w:tcPr>
            <w:tcW w:w="848" w:type="dxa"/>
            <w:shd w:val="clear" w:color="auto" w:fill="auto"/>
            <w:tcMar>
              <w:top w:w="0" w:type="dxa"/>
              <w:bottom w:w="0" w:type="dxa"/>
            </w:tcMar>
            <w:vAlign w:val="center"/>
          </w:tcPr>
          <w:p w14:paraId="293FB2E0"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2</w:t>
            </w:r>
          </w:p>
        </w:tc>
        <w:tc>
          <w:tcPr>
            <w:tcW w:w="2352" w:type="dxa"/>
            <w:shd w:val="clear" w:color="auto" w:fill="auto"/>
            <w:tcMar>
              <w:top w:w="0" w:type="dxa"/>
              <w:bottom w:w="0" w:type="dxa"/>
            </w:tcMar>
            <w:vAlign w:val="center"/>
          </w:tcPr>
          <w:p w14:paraId="0BBE0B07" w14:textId="77777777" w:rsidR="00510E34" w:rsidRDefault="002455ED">
            <w:pPr>
              <w:pBdr>
                <w:top w:val="nil"/>
                <w:left w:val="nil"/>
                <w:bottom w:val="nil"/>
                <w:right w:val="nil"/>
                <w:between w:val="nil"/>
              </w:pBdr>
              <w:spacing w:after="120" w:line="360" w:lineRule="auto"/>
              <w:ind w:left="124"/>
              <w:rPr>
                <w:rFonts w:ascii="Arial" w:eastAsia="Arial" w:hAnsi="Arial" w:cs="Arial"/>
                <w:color w:val="010000"/>
                <w:sz w:val="20"/>
                <w:szCs w:val="20"/>
              </w:rPr>
            </w:pPr>
            <w:r>
              <w:rPr>
                <w:rFonts w:ascii="Arial" w:hAnsi="Arial"/>
                <w:color w:val="010000"/>
                <w:sz w:val="20"/>
              </w:rPr>
              <w:t xml:space="preserve">Do Van </w:t>
            </w:r>
            <w:proofErr w:type="spellStart"/>
            <w:r>
              <w:rPr>
                <w:rFonts w:ascii="Arial" w:hAnsi="Arial"/>
                <w:color w:val="010000"/>
                <w:sz w:val="20"/>
              </w:rPr>
              <w:t>Huy</w:t>
            </w:r>
            <w:proofErr w:type="spellEnd"/>
          </w:p>
        </w:tc>
        <w:tc>
          <w:tcPr>
            <w:tcW w:w="1508" w:type="dxa"/>
            <w:shd w:val="clear" w:color="auto" w:fill="auto"/>
            <w:tcMar>
              <w:top w:w="0" w:type="dxa"/>
              <w:bottom w:w="0" w:type="dxa"/>
            </w:tcMar>
            <w:vAlign w:val="center"/>
          </w:tcPr>
          <w:p w14:paraId="14B9C23E" w14:textId="77777777" w:rsidR="00510E34" w:rsidRDefault="00510E34">
            <w:pPr>
              <w:spacing w:after="120" w:line="360" w:lineRule="auto"/>
              <w:jc w:val="center"/>
              <w:rPr>
                <w:rFonts w:ascii="Arial" w:eastAsia="Arial" w:hAnsi="Arial" w:cs="Arial"/>
                <w:color w:val="010000"/>
                <w:sz w:val="20"/>
                <w:szCs w:val="20"/>
              </w:rPr>
            </w:pPr>
          </w:p>
        </w:tc>
        <w:tc>
          <w:tcPr>
            <w:tcW w:w="1111" w:type="dxa"/>
            <w:shd w:val="clear" w:color="auto" w:fill="auto"/>
            <w:tcMar>
              <w:top w:w="0" w:type="dxa"/>
              <w:bottom w:w="0" w:type="dxa"/>
            </w:tcMar>
            <w:vAlign w:val="center"/>
          </w:tcPr>
          <w:p w14:paraId="355D8EEE" w14:textId="77777777" w:rsidR="00510E34" w:rsidRDefault="00510E34">
            <w:pPr>
              <w:spacing w:after="120" w:line="360" w:lineRule="auto"/>
              <w:jc w:val="center"/>
              <w:rPr>
                <w:rFonts w:ascii="Arial" w:eastAsia="Arial" w:hAnsi="Arial" w:cs="Arial"/>
                <w:color w:val="010000"/>
                <w:sz w:val="20"/>
                <w:szCs w:val="20"/>
              </w:rPr>
            </w:pPr>
          </w:p>
        </w:tc>
        <w:tc>
          <w:tcPr>
            <w:tcW w:w="1014" w:type="dxa"/>
            <w:shd w:val="clear" w:color="auto" w:fill="auto"/>
            <w:tcMar>
              <w:top w:w="0" w:type="dxa"/>
              <w:bottom w:w="0" w:type="dxa"/>
            </w:tcMar>
            <w:vAlign w:val="center"/>
          </w:tcPr>
          <w:p w14:paraId="61410219" w14:textId="77777777" w:rsidR="00510E34" w:rsidRDefault="00510E34">
            <w:pPr>
              <w:spacing w:after="120" w:line="360" w:lineRule="auto"/>
              <w:jc w:val="center"/>
              <w:rPr>
                <w:rFonts w:ascii="Arial" w:eastAsia="Arial" w:hAnsi="Arial" w:cs="Arial"/>
                <w:color w:val="010000"/>
                <w:sz w:val="20"/>
                <w:szCs w:val="20"/>
              </w:rPr>
            </w:pPr>
          </w:p>
        </w:tc>
        <w:tc>
          <w:tcPr>
            <w:tcW w:w="1062" w:type="dxa"/>
            <w:shd w:val="clear" w:color="auto" w:fill="auto"/>
            <w:tcMar>
              <w:top w:w="0" w:type="dxa"/>
              <w:bottom w:w="0" w:type="dxa"/>
            </w:tcMar>
            <w:vAlign w:val="center"/>
          </w:tcPr>
          <w:p w14:paraId="15FA576B"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1,658,400</w:t>
            </w:r>
          </w:p>
        </w:tc>
        <w:tc>
          <w:tcPr>
            <w:tcW w:w="1122" w:type="dxa"/>
            <w:shd w:val="clear" w:color="auto" w:fill="auto"/>
            <w:tcMar>
              <w:top w:w="0" w:type="dxa"/>
              <w:bottom w:w="0" w:type="dxa"/>
            </w:tcMar>
            <w:vAlign w:val="center"/>
          </w:tcPr>
          <w:p w14:paraId="3FF871A6"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1,658,400</w:t>
            </w:r>
          </w:p>
        </w:tc>
      </w:tr>
      <w:tr w:rsidR="00510E34" w14:paraId="10107449" w14:textId="77777777">
        <w:tc>
          <w:tcPr>
            <w:tcW w:w="848" w:type="dxa"/>
            <w:shd w:val="clear" w:color="auto" w:fill="auto"/>
            <w:tcMar>
              <w:top w:w="0" w:type="dxa"/>
              <w:bottom w:w="0" w:type="dxa"/>
            </w:tcMar>
            <w:vAlign w:val="center"/>
          </w:tcPr>
          <w:p w14:paraId="03400661"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3</w:t>
            </w:r>
          </w:p>
        </w:tc>
        <w:tc>
          <w:tcPr>
            <w:tcW w:w="2352" w:type="dxa"/>
            <w:shd w:val="clear" w:color="auto" w:fill="auto"/>
            <w:tcMar>
              <w:top w:w="0" w:type="dxa"/>
              <w:bottom w:w="0" w:type="dxa"/>
            </w:tcMar>
            <w:vAlign w:val="center"/>
          </w:tcPr>
          <w:p w14:paraId="4A416F82" w14:textId="77777777" w:rsidR="00510E34" w:rsidRDefault="002455ED">
            <w:pPr>
              <w:pBdr>
                <w:top w:val="nil"/>
                <w:left w:val="nil"/>
                <w:bottom w:val="nil"/>
                <w:right w:val="nil"/>
                <w:between w:val="nil"/>
              </w:pBdr>
              <w:spacing w:after="120" w:line="360" w:lineRule="auto"/>
              <w:ind w:left="124"/>
              <w:rPr>
                <w:rFonts w:ascii="Arial" w:eastAsia="Arial" w:hAnsi="Arial" w:cs="Arial"/>
                <w:color w:val="010000"/>
                <w:sz w:val="20"/>
                <w:szCs w:val="20"/>
              </w:rPr>
            </w:pPr>
            <w:r>
              <w:rPr>
                <w:rFonts w:ascii="Arial" w:hAnsi="Arial"/>
                <w:color w:val="010000"/>
                <w:sz w:val="20"/>
              </w:rPr>
              <w:t>Bui Thi Thuy Chung</w:t>
            </w:r>
          </w:p>
        </w:tc>
        <w:tc>
          <w:tcPr>
            <w:tcW w:w="1508" w:type="dxa"/>
            <w:shd w:val="clear" w:color="auto" w:fill="auto"/>
            <w:tcMar>
              <w:top w:w="0" w:type="dxa"/>
              <w:bottom w:w="0" w:type="dxa"/>
            </w:tcMar>
            <w:vAlign w:val="center"/>
          </w:tcPr>
          <w:p w14:paraId="4B5FB7E1" w14:textId="77777777" w:rsidR="00510E34" w:rsidRDefault="00510E34">
            <w:pPr>
              <w:spacing w:after="120" w:line="360" w:lineRule="auto"/>
              <w:jc w:val="center"/>
              <w:rPr>
                <w:rFonts w:ascii="Arial" w:eastAsia="Arial" w:hAnsi="Arial" w:cs="Arial"/>
                <w:color w:val="010000"/>
                <w:sz w:val="20"/>
                <w:szCs w:val="20"/>
              </w:rPr>
            </w:pPr>
          </w:p>
        </w:tc>
        <w:tc>
          <w:tcPr>
            <w:tcW w:w="1111" w:type="dxa"/>
            <w:shd w:val="clear" w:color="auto" w:fill="auto"/>
            <w:tcMar>
              <w:top w:w="0" w:type="dxa"/>
              <w:bottom w:w="0" w:type="dxa"/>
            </w:tcMar>
            <w:vAlign w:val="center"/>
          </w:tcPr>
          <w:p w14:paraId="321E0190" w14:textId="77777777" w:rsidR="00510E34" w:rsidRDefault="00510E34">
            <w:pPr>
              <w:spacing w:after="120" w:line="360" w:lineRule="auto"/>
              <w:jc w:val="center"/>
              <w:rPr>
                <w:rFonts w:ascii="Arial" w:eastAsia="Arial" w:hAnsi="Arial" w:cs="Arial"/>
                <w:color w:val="010000"/>
                <w:sz w:val="20"/>
                <w:szCs w:val="20"/>
              </w:rPr>
            </w:pPr>
          </w:p>
        </w:tc>
        <w:tc>
          <w:tcPr>
            <w:tcW w:w="1014" w:type="dxa"/>
            <w:shd w:val="clear" w:color="auto" w:fill="auto"/>
            <w:tcMar>
              <w:top w:w="0" w:type="dxa"/>
              <w:bottom w:w="0" w:type="dxa"/>
            </w:tcMar>
            <w:vAlign w:val="center"/>
          </w:tcPr>
          <w:p w14:paraId="442ECE73" w14:textId="77777777" w:rsidR="00510E34" w:rsidRDefault="00510E34">
            <w:pPr>
              <w:spacing w:after="120" w:line="360" w:lineRule="auto"/>
              <w:jc w:val="center"/>
              <w:rPr>
                <w:rFonts w:ascii="Arial" w:eastAsia="Arial" w:hAnsi="Arial" w:cs="Arial"/>
                <w:color w:val="010000"/>
                <w:sz w:val="20"/>
                <w:szCs w:val="20"/>
              </w:rPr>
            </w:pPr>
          </w:p>
        </w:tc>
        <w:tc>
          <w:tcPr>
            <w:tcW w:w="1062" w:type="dxa"/>
            <w:shd w:val="clear" w:color="auto" w:fill="auto"/>
            <w:tcMar>
              <w:top w:w="0" w:type="dxa"/>
              <w:bottom w:w="0" w:type="dxa"/>
            </w:tcMar>
            <w:vAlign w:val="center"/>
          </w:tcPr>
          <w:p w14:paraId="52B2E326"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1,337,600</w:t>
            </w:r>
          </w:p>
        </w:tc>
        <w:tc>
          <w:tcPr>
            <w:tcW w:w="1122" w:type="dxa"/>
            <w:shd w:val="clear" w:color="auto" w:fill="auto"/>
            <w:tcMar>
              <w:top w:w="0" w:type="dxa"/>
              <w:bottom w:w="0" w:type="dxa"/>
            </w:tcMar>
            <w:vAlign w:val="center"/>
          </w:tcPr>
          <w:p w14:paraId="33C10CAF"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1,337,600</w:t>
            </w:r>
          </w:p>
        </w:tc>
      </w:tr>
      <w:tr w:rsidR="00510E34" w14:paraId="27D29EF3" w14:textId="77777777">
        <w:tc>
          <w:tcPr>
            <w:tcW w:w="848" w:type="dxa"/>
            <w:shd w:val="clear" w:color="auto" w:fill="auto"/>
            <w:tcMar>
              <w:top w:w="0" w:type="dxa"/>
              <w:bottom w:w="0" w:type="dxa"/>
            </w:tcMar>
            <w:vAlign w:val="center"/>
          </w:tcPr>
          <w:p w14:paraId="6249DEC6"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4</w:t>
            </w:r>
          </w:p>
        </w:tc>
        <w:tc>
          <w:tcPr>
            <w:tcW w:w="2352" w:type="dxa"/>
            <w:shd w:val="clear" w:color="auto" w:fill="auto"/>
            <w:tcMar>
              <w:top w:w="0" w:type="dxa"/>
              <w:bottom w:w="0" w:type="dxa"/>
            </w:tcMar>
            <w:vAlign w:val="center"/>
          </w:tcPr>
          <w:p w14:paraId="46F42BFE" w14:textId="77777777" w:rsidR="00510E34" w:rsidRDefault="002455ED">
            <w:pPr>
              <w:pBdr>
                <w:top w:val="nil"/>
                <w:left w:val="nil"/>
                <w:bottom w:val="nil"/>
                <w:right w:val="nil"/>
                <w:between w:val="nil"/>
              </w:pBdr>
              <w:spacing w:after="120" w:line="360" w:lineRule="auto"/>
              <w:ind w:left="124"/>
              <w:rPr>
                <w:rFonts w:ascii="Arial" w:eastAsia="Arial" w:hAnsi="Arial" w:cs="Arial"/>
                <w:color w:val="010000"/>
                <w:sz w:val="20"/>
                <w:szCs w:val="20"/>
              </w:rPr>
            </w:pPr>
            <w:r>
              <w:rPr>
                <w:rFonts w:ascii="Arial" w:hAnsi="Arial"/>
                <w:color w:val="010000"/>
                <w:sz w:val="20"/>
              </w:rPr>
              <w:t>Nguyen Hoang Vi</w:t>
            </w:r>
          </w:p>
        </w:tc>
        <w:tc>
          <w:tcPr>
            <w:tcW w:w="1508" w:type="dxa"/>
            <w:shd w:val="clear" w:color="auto" w:fill="auto"/>
            <w:tcMar>
              <w:top w:w="0" w:type="dxa"/>
              <w:bottom w:w="0" w:type="dxa"/>
            </w:tcMar>
            <w:vAlign w:val="center"/>
          </w:tcPr>
          <w:p w14:paraId="204895DA" w14:textId="77777777" w:rsidR="00510E34" w:rsidRDefault="00510E34">
            <w:pPr>
              <w:spacing w:after="120" w:line="360" w:lineRule="auto"/>
              <w:jc w:val="center"/>
              <w:rPr>
                <w:rFonts w:ascii="Arial" w:eastAsia="Arial" w:hAnsi="Arial" w:cs="Arial"/>
                <w:color w:val="010000"/>
                <w:sz w:val="20"/>
                <w:szCs w:val="20"/>
              </w:rPr>
            </w:pPr>
          </w:p>
        </w:tc>
        <w:tc>
          <w:tcPr>
            <w:tcW w:w="1111" w:type="dxa"/>
            <w:shd w:val="clear" w:color="auto" w:fill="auto"/>
            <w:tcMar>
              <w:top w:w="0" w:type="dxa"/>
              <w:bottom w:w="0" w:type="dxa"/>
            </w:tcMar>
            <w:vAlign w:val="center"/>
          </w:tcPr>
          <w:p w14:paraId="1BA99939" w14:textId="77777777" w:rsidR="00510E34" w:rsidRDefault="00510E34">
            <w:pPr>
              <w:spacing w:after="120" w:line="360" w:lineRule="auto"/>
              <w:jc w:val="center"/>
              <w:rPr>
                <w:rFonts w:ascii="Arial" w:eastAsia="Arial" w:hAnsi="Arial" w:cs="Arial"/>
                <w:color w:val="010000"/>
                <w:sz w:val="20"/>
                <w:szCs w:val="20"/>
              </w:rPr>
            </w:pPr>
          </w:p>
        </w:tc>
        <w:tc>
          <w:tcPr>
            <w:tcW w:w="1014" w:type="dxa"/>
            <w:shd w:val="clear" w:color="auto" w:fill="auto"/>
            <w:tcMar>
              <w:top w:w="0" w:type="dxa"/>
              <w:bottom w:w="0" w:type="dxa"/>
            </w:tcMar>
            <w:vAlign w:val="center"/>
          </w:tcPr>
          <w:p w14:paraId="5467EF0E" w14:textId="77777777" w:rsidR="00510E34" w:rsidRDefault="00510E34">
            <w:pPr>
              <w:spacing w:after="120" w:line="360" w:lineRule="auto"/>
              <w:jc w:val="center"/>
              <w:rPr>
                <w:rFonts w:ascii="Arial" w:eastAsia="Arial" w:hAnsi="Arial" w:cs="Arial"/>
                <w:color w:val="010000"/>
                <w:sz w:val="20"/>
                <w:szCs w:val="20"/>
              </w:rPr>
            </w:pPr>
          </w:p>
        </w:tc>
        <w:tc>
          <w:tcPr>
            <w:tcW w:w="1062" w:type="dxa"/>
            <w:shd w:val="clear" w:color="auto" w:fill="auto"/>
            <w:tcMar>
              <w:top w:w="0" w:type="dxa"/>
              <w:bottom w:w="0" w:type="dxa"/>
            </w:tcMar>
            <w:vAlign w:val="center"/>
          </w:tcPr>
          <w:p w14:paraId="324AD3A3"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696,600</w:t>
            </w:r>
          </w:p>
        </w:tc>
        <w:tc>
          <w:tcPr>
            <w:tcW w:w="1122" w:type="dxa"/>
            <w:shd w:val="clear" w:color="auto" w:fill="auto"/>
            <w:tcMar>
              <w:top w:w="0" w:type="dxa"/>
              <w:bottom w:w="0" w:type="dxa"/>
            </w:tcMar>
            <w:vAlign w:val="center"/>
          </w:tcPr>
          <w:p w14:paraId="7BA5EF19"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696,600</w:t>
            </w:r>
          </w:p>
        </w:tc>
      </w:tr>
      <w:tr w:rsidR="00510E34" w14:paraId="76AE5FD5" w14:textId="77777777">
        <w:tc>
          <w:tcPr>
            <w:tcW w:w="848" w:type="dxa"/>
            <w:shd w:val="clear" w:color="auto" w:fill="auto"/>
            <w:tcMar>
              <w:top w:w="0" w:type="dxa"/>
              <w:bottom w:w="0" w:type="dxa"/>
            </w:tcMar>
            <w:vAlign w:val="center"/>
          </w:tcPr>
          <w:p w14:paraId="56289656" w14:textId="77777777" w:rsidR="00510E34" w:rsidRDefault="00510E34">
            <w:pPr>
              <w:spacing w:after="120" w:line="360" w:lineRule="auto"/>
              <w:jc w:val="center"/>
              <w:rPr>
                <w:rFonts w:ascii="Arial" w:eastAsia="Arial" w:hAnsi="Arial" w:cs="Arial"/>
                <w:color w:val="010000"/>
                <w:sz w:val="20"/>
                <w:szCs w:val="20"/>
              </w:rPr>
            </w:pPr>
          </w:p>
        </w:tc>
        <w:tc>
          <w:tcPr>
            <w:tcW w:w="2352" w:type="dxa"/>
            <w:shd w:val="clear" w:color="auto" w:fill="auto"/>
            <w:tcMar>
              <w:top w:w="0" w:type="dxa"/>
              <w:bottom w:w="0" w:type="dxa"/>
            </w:tcMar>
            <w:vAlign w:val="center"/>
          </w:tcPr>
          <w:p w14:paraId="6E1C34B6" w14:textId="77777777" w:rsidR="00510E34" w:rsidRDefault="002455ED">
            <w:pPr>
              <w:pBdr>
                <w:top w:val="nil"/>
                <w:left w:val="nil"/>
                <w:bottom w:val="nil"/>
                <w:right w:val="nil"/>
                <w:between w:val="nil"/>
              </w:pBdr>
              <w:spacing w:after="120" w:line="360" w:lineRule="auto"/>
              <w:ind w:left="124"/>
              <w:rPr>
                <w:rFonts w:ascii="Arial" w:eastAsia="Arial" w:hAnsi="Arial" w:cs="Arial"/>
                <w:color w:val="010000"/>
                <w:sz w:val="20"/>
                <w:szCs w:val="20"/>
              </w:rPr>
            </w:pPr>
            <w:r>
              <w:rPr>
                <w:rFonts w:ascii="Arial" w:hAnsi="Arial"/>
                <w:color w:val="010000"/>
                <w:sz w:val="20"/>
              </w:rPr>
              <w:t>Total</w:t>
            </w:r>
          </w:p>
        </w:tc>
        <w:tc>
          <w:tcPr>
            <w:tcW w:w="1508" w:type="dxa"/>
            <w:shd w:val="clear" w:color="auto" w:fill="auto"/>
            <w:tcMar>
              <w:top w:w="0" w:type="dxa"/>
              <w:bottom w:w="0" w:type="dxa"/>
            </w:tcMar>
            <w:vAlign w:val="center"/>
          </w:tcPr>
          <w:p w14:paraId="4B1F114B" w14:textId="77777777" w:rsidR="00510E34" w:rsidRDefault="00510E34">
            <w:pPr>
              <w:spacing w:after="120" w:line="360" w:lineRule="auto"/>
              <w:jc w:val="center"/>
              <w:rPr>
                <w:rFonts w:ascii="Arial" w:eastAsia="Arial" w:hAnsi="Arial" w:cs="Arial"/>
                <w:color w:val="010000"/>
                <w:sz w:val="20"/>
                <w:szCs w:val="20"/>
              </w:rPr>
            </w:pPr>
          </w:p>
        </w:tc>
        <w:tc>
          <w:tcPr>
            <w:tcW w:w="1111" w:type="dxa"/>
            <w:shd w:val="clear" w:color="auto" w:fill="auto"/>
            <w:tcMar>
              <w:top w:w="0" w:type="dxa"/>
              <w:bottom w:w="0" w:type="dxa"/>
            </w:tcMar>
            <w:vAlign w:val="center"/>
          </w:tcPr>
          <w:p w14:paraId="01E748BC" w14:textId="77777777" w:rsidR="00510E34" w:rsidRDefault="00510E34">
            <w:pPr>
              <w:spacing w:after="120" w:line="360" w:lineRule="auto"/>
              <w:jc w:val="center"/>
              <w:rPr>
                <w:rFonts w:ascii="Arial" w:eastAsia="Arial" w:hAnsi="Arial" w:cs="Arial"/>
                <w:color w:val="010000"/>
                <w:sz w:val="20"/>
                <w:szCs w:val="20"/>
              </w:rPr>
            </w:pPr>
          </w:p>
        </w:tc>
        <w:tc>
          <w:tcPr>
            <w:tcW w:w="1014" w:type="dxa"/>
            <w:shd w:val="clear" w:color="auto" w:fill="auto"/>
            <w:tcMar>
              <w:top w:w="0" w:type="dxa"/>
              <w:bottom w:w="0" w:type="dxa"/>
            </w:tcMar>
            <w:vAlign w:val="center"/>
          </w:tcPr>
          <w:p w14:paraId="20DE09A6" w14:textId="77777777" w:rsidR="00510E34" w:rsidRDefault="00510E34">
            <w:pPr>
              <w:spacing w:after="120" w:line="360" w:lineRule="auto"/>
              <w:jc w:val="center"/>
              <w:rPr>
                <w:rFonts w:ascii="Arial" w:eastAsia="Arial" w:hAnsi="Arial" w:cs="Arial"/>
                <w:color w:val="010000"/>
                <w:sz w:val="20"/>
                <w:szCs w:val="20"/>
              </w:rPr>
            </w:pPr>
          </w:p>
        </w:tc>
        <w:tc>
          <w:tcPr>
            <w:tcW w:w="1062" w:type="dxa"/>
            <w:shd w:val="clear" w:color="auto" w:fill="auto"/>
            <w:tcMar>
              <w:top w:w="0" w:type="dxa"/>
              <w:bottom w:w="0" w:type="dxa"/>
            </w:tcMar>
            <w:vAlign w:val="center"/>
          </w:tcPr>
          <w:p w14:paraId="0124E560"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5,377,634</w:t>
            </w:r>
          </w:p>
        </w:tc>
        <w:tc>
          <w:tcPr>
            <w:tcW w:w="1122" w:type="dxa"/>
            <w:shd w:val="clear" w:color="auto" w:fill="auto"/>
            <w:tcMar>
              <w:top w:w="0" w:type="dxa"/>
              <w:bottom w:w="0" w:type="dxa"/>
            </w:tcMar>
            <w:vAlign w:val="center"/>
          </w:tcPr>
          <w:p w14:paraId="7F80439A" w14:textId="77777777" w:rsidR="00510E34" w:rsidRDefault="002455ED">
            <w:pPr>
              <w:pBdr>
                <w:top w:val="nil"/>
                <w:left w:val="nil"/>
                <w:bottom w:val="nil"/>
                <w:right w:val="nil"/>
                <w:between w:val="nil"/>
              </w:pBdr>
              <w:spacing w:after="120" w:line="360" w:lineRule="auto"/>
              <w:jc w:val="center"/>
              <w:rPr>
                <w:rFonts w:ascii="Arial" w:eastAsia="Arial" w:hAnsi="Arial" w:cs="Arial"/>
                <w:color w:val="010000"/>
                <w:sz w:val="20"/>
                <w:szCs w:val="20"/>
              </w:rPr>
            </w:pPr>
            <w:r>
              <w:rPr>
                <w:rFonts w:ascii="Arial" w:hAnsi="Arial"/>
                <w:color w:val="010000"/>
                <w:sz w:val="20"/>
              </w:rPr>
              <w:t>5,377,634</w:t>
            </w:r>
          </w:p>
        </w:tc>
      </w:tr>
    </w:tbl>
    <w:p w14:paraId="1A9F618C" w14:textId="77777777" w:rsidR="00510E34" w:rsidRDefault="002455ED">
      <w:pPr>
        <w:numPr>
          <w:ilvl w:val="0"/>
          <w:numId w:val="6"/>
        </w:numPr>
        <w:pBdr>
          <w:top w:val="nil"/>
          <w:left w:val="nil"/>
          <w:bottom w:val="nil"/>
          <w:right w:val="nil"/>
          <w:between w:val="nil"/>
        </w:pBdr>
        <w:tabs>
          <w:tab w:val="left" w:pos="567"/>
        </w:tabs>
        <w:spacing w:after="120" w:line="360" w:lineRule="auto"/>
        <w:ind w:left="567" w:hanging="567"/>
        <w:rPr>
          <w:rFonts w:ascii="Arial" w:eastAsia="Arial" w:hAnsi="Arial" w:cs="Arial"/>
          <w:color w:val="010000"/>
          <w:sz w:val="20"/>
          <w:szCs w:val="20"/>
        </w:rPr>
      </w:pPr>
      <w:r>
        <w:rPr>
          <w:rFonts w:ascii="Arial" w:hAnsi="Arial"/>
          <w:color w:val="010000"/>
          <w:sz w:val="20"/>
        </w:rPr>
        <w:t>Transaction method:</w:t>
      </w:r>
    </w:p>
    <w:p w14:paraId="6F6DF260" w14:textId="77777777" w:rsidR="00510E34" w:rsidRDefault="002455ED" w:rsidP="00C70E1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Trade by one of the following methods: (1) Trade through the </w:t>
      </w:r>
      <w:proofErr w:type="spellStart"/>
      <w:r>
        <w:rPr>
          <w:rFonts w:ascii="Arial" w:hAnsi="Arial"/>
          <w:color w:val="010000"/>
          <w:sz w:val="20"/>
        </w:rPr>
        <w:t>UPCoM</w:t>
      </w:r>
      <w:proofErr w:type="spellEnd"/>
      <w:r>
        <w:rPr>
          <w:rFonts w:ascii="Arial" w:hAnsi="Arial"/>
          <w:color w:val="010000"/>
          <w:sz w:val="20"/>
        </w:rPr>
        <w:t xml:space="preserve"> trading system. (order matching and/or agreement); (2) Trade outside the </w:t>
      </w:r>
      <w:proofErr w:type="spellStart"/>
      <w:r>
        <w:rPr>
          <w:rFonts w:ascii="Arial" w:hAnsi="Arial"/>
          <w:color w:val="010000"/>
          <w:sz w:val="20"/>
        </w:rPr>
        <w:t>UPCoM</w:t>
      </w:r>
      <w:proofErr w:type="spellEnd"/>
      <w:r>
        <w:rPr>
          <w:rFonts w:ascii="Arial" w:hAnsi="Arial"/>
          <w:color w:val="010000"/>
          <w:sz w:val="20"/>
        </w:rPr>
        <w:t xml:space="preserve"> trading system.</w:t>
      </w:r>
    </w:p>
    <w:p w14:paraId="67F847C1" w14:textId="77777777" w:rsidR="00510E34" w:rsidRDefault="002455ED" w:rsidP="00C70E19">
      <w:pPr>
        <w:numPr>
          <w:ilvl w:val="0"/>
          <w:numId w:val="6"/>
        </w:numPr>
        <w:pBdr>
          <w:top w:val="nil"/>
          <w:left w:val="nil"/>
          <w:bottom w:val="nil"/>
          <w:right w:val="nil"/>
          <w:between w:val="nil"/>
        </w:pBdr>
        <w:tabs>
          <w:tab w:val="left" w:pos="567"/>
        </w:tabs>
        <w:spacing w:after="120" w:line="360" w:lineRule="auto"/>
        <w:ind w:left="567" w:hanging="567"/>
        <w:jc w:val="both"/>
        <w:rPr>
          <w:rFonts w:ascii="Arial" w:eastAsia="Arial" w:hAnsi="Arial" w:cs="Arial"/>
          <w:color w:val="010000"/>
          <w:sz w:val="20"/>
          <w:szCs w:val="20"/>
        </w:rPr>
      </w:pPr>
      <w:r>
        <w:rPr>
          <w:rFonts w:ascii="Arial" w:hAnsi="Arial"/>
          <w:color w:val="010000"/>
          <w:sz w:val="20"/>
        </w:rPr>
        <w:lastRenderedPageBreak/>
        <w:t>Conditions for making transactions:</w:t>
      </w:r>
    </w:p>
    <w:p w14:paraId="3AE5B31F" w14:textId="393DF611" w:rsidR="00510E34" w:rsidRDefault="002455ED" w:rsidP="00C70E19">
      <w:p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After the General Meeting of Leather Footwear and Garment Making Exporting Corporation (</w:t>
      </w:r>
      <w:proofErr w:type="spellStart"/>
      <w:r>
        <w:rPr>
          <w:rFonts w:ascii="Arial" w:hAnsi="Arial"/>
          <w:color w:val="010000"/>
          <w:sz w:val="20"/>
        </w:rPr>
        <w:t>Legamex</w:t>
      </w:r>
      <w:proofErr w:type="spellEnd"/>
      <w:r>
        <w:rPr>
          <w:rFonts w:ascii="Arial" w:hAnsi="Arial"/>
          <w:color w:val="010000"/>
          <w:sz w:val="20"/>
        </w:rPr>
        <w:t xml:space="preserve">) passes the Resolution on not having to make a public bid and the relevant state agency approves the transfer of shares </w:t>
      </w:r>
      <w:r w:rsidR="00C70E19">
        <w:rPr>
          <w:rFonts w:ascii="Arial" w:hAnsi="Arial"/>
          <w:color w:val="010000"/>
          <w:sz w:val="20"/>
        </w:rPr>
        <w:t>under applicable laws</w:t>
      </w:r>
      <w:r>
        <w:rPr>
          <w:rFonts w:ascii="Arial" w:hAnsi="Arial"/>
          <w:color w:val="010000"/>
          <w:sz w:val="20"/>
        </w:rPr>
        <w:t>.</w:t>
      </w:r>
    </w:p>
    <w:p w14:paraId="19157758" w14:textId="78502411" w:rsidR="00510E34" w:rsidRDefault="00C70E19" w:rsidP="00C70E19">
      <w:pPr>
        <w:numPr>
          <w:ilvl w:val="0"/>
          <w:numId w:val="6"/>
        </w:numPr>
        <w:pBdr>
          <w:top w:val="nil"/>
          <w:left w:val="nil"/>
          <w:bottom w:val="nil"/>
          <w:right w:val="nil"/>
          <w:between w:val="nil"/>
        </w:pBdr>
        <w:tabs>
          <w:tab w:val="left" w:pos="567"/>
        </w:tabs>
        <w:spacing w:after="120" w:line="360" w:lineRule="auto"/>
        <w:ind w:left="567" w:hanging="567"/>
        <w:jc w:val="both"/>
        <w:rPr>
          <w:rFonts w:ascii="Arial" w:eastAsia="Arial" w:hAnsi="Arial" w:cs="Arial"/>
          <w:color w:val="010000"/>
          <w:sz w:val="20"/>
          <w:szCs w:val="20"/>
        </w:rPr>
      </w:pPr>
      <w:r>
        <w:rPr>
          <w:rFonts w:ascii="Arial" w:hAnsi="Arial"/>
          <w:color w:val="010000"/>
          <w:sz w:val="20"/>
        </w:rPr>
        <w:t>Transaction date</w:t>
      </w:r>
      <w:r w:rsidR="002455ED">
        <w:rPr>
          <w:rFonts w:ascii="Arial" w:hAnsi="Arial"/>
          <w:color w:val="010000"/>
          <w:sz w:val="20"/>
        </w:rPr>
        <w:t>: Within 2024 until the transactions are completed.</w:t>
      </w:r>
    </w:p>
    <w:p w14:paraId="67901E98" w14:textId="77777777" w:rsidR="00510E34" w:rsidRDefault="002455ED" w:rsidP="00C70E19">
      <w:pPr>
        <w:keepNext/>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‎‎Article 11. Terms of enforcement</w:t>
      </w:r>
    </w:p>
    <w:p w14:paraId="1EF28CD4" w14:textId="70A5B897" w:rsidR="00510E34" w:rsidRDefault="002455ED" w:rsidP="00C70E19">
      <w:pPr>
        <w:numPr>
          <w:ilvl w:val="0"/>
          <w:numId w:val="4"/>
        </w:num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This General Mandate was approved by the General Meeting at the meeting on April 25, 202</w:t>
      </w:r>
      <w:r w:rsidR="00C70E19">
        <w:rPr>
          <w:rFonts w:ascii="Arial" w:hAnsi="Arial"/>
          <w:color w:val="010000"/>
          <w:sz w:val="20"/>
        </w:rPr>
        <w:t>4 and takes effect from 10.22am</w:t>
      </w:r>
      <w:r>
        <w:rPr>
          <w:rFonts w:ascii="Arial" w:hAnsi="Arial"/>
          <w:color w:val="010000"/>
          <w:sz w:val="20"/>
        </w:rPr>
        <w:t xml:space="preserve"> on April 25, 2024.</w:t>
      </w:r>
    </w:p>
    <w:p w14:paraId="5A117229" w14:textId="72AF10FE" w:rsidR="00510E34" w:rsidRDefault="002455ED" w:rsidP="00C70E19">
      <w:pPr>
        <w:numPr>
          <w:ilvl w:val="0"/>
          <w:numId w:val="4"/>
        </w:numPr>
        <w:pBdr>
          <w:top w:val="nil"/>
          <w:left w:val="nil"/>
          <w:bottom w:val="nil"/>
          <w:right w:val="nil"/>
          <w:between w:val="nil"/>
        </w:pBdr>
        <w:spacing w:after="120" w:line="360" w:lineRule="auto"/>
        <w:jc w:val="both"/>
        <w:rPr>
          <w:rFonts w:ascii="Arial" w:eastAsia="Arial" w:hAnsi="Arial" w:cs="Arial"/>
          <w:color w:val="010000"/>
          <w:sz w:val="20"/>
          <w:szCs w:val="20"/>
        </w:rPr>
      </w:pPr>
      <w:r>
        <w:rPr>
          <w:rFonts w:ascii="Arial" w:hAnsi="Arial"/>
          <w:color w:val="010000"/>
          <w:sz w:val="20"/>
        </w:rPr>
        <w:t xml:space="preserve">Assign the Board of Directors, </w:t>
      </w:r>
      <w:r w:rsidR="00C70E19">
        <w:rPr>
          <w:rFonts w:ascii="Arial" w:hAnsi="Arial"/>
          <w:color w:val="010000"/>
          <w:sz w:val="20"/>
        </w:rPr>
        <w:t xml:space="preserve">Managing Director and </w:t>
      </w:r>
      <w:r>
        <w:rPr>
          <w:rFonts w:ascii="Arial" w:hAnsi="Arial"/>
          <w:color w:val="010000"/>
          <w:sz w:val="20"/>
        </w:rPr>
        <w:t xml:space="preserve">Legal Representative to be responsible for disclosing information </w:t>
      </w:r>
      <w:r w:rsidR="00C70E19">
        <w:rPr>
          <w:rFonts w:ascii="Arial" w:hAnsi="Arial"/>
          <w:color w:val="010000"/>
          <w:sz w:val="20"/>
        </w:rPr>
        <w:t>as per</w:t>
      </w:r>
      <w:bookmarkStart w:id="1" w:name="_GoBack"/>
      <w:bookmarkEnd w:id="1"/>
      <w:r>
        <w:rPr>
          <w:rFonts w:ascii="Arial" w:hAnsi="Arial"/>
          <w:color w:val="010000"/>
          <w:sz w:val="20"/>
        </w:rPr>
        <w:t xml:space="preserve"> regulations and </w:t>
      </w:r>
      <w:r w:rsidR="00C70E19">
        <w:rPr>
          <w:rFonts w:ascii="Arial" w:hAnsi="Arial"/>
          <w:color w:val="010000"/>
          <w:sz w:val="20"/>
        </w:rPr>
        <w:t>directing</w:t>
      </w:r>
      <w:r>
        <w:rPr>
          <w:rFonts w:ascii="Arial" w:hAnsi="Arial"/>
          <w:color w:val="010000"/>
          <w:sz w:val="20"/>
        </w:rPr>
        <w:t xml:space="preserve"> the implementation of this Resolution.</w:t>
      </w:r>
    </w:p>
    <w:p w14:paraId="6A55843B" w14:textId="77777777" w:rsidR="00510E34" w:rsidRDefault="00510E34" w:rsidP="00C70E19">
      <w:pPr>
        <w:pBdr>
          <w:top w:val="nil"/>
          <w:left w:val="nil"/>
          <w:bottom w:val="nil"/>
          <w:right w:val="nil"/>
          <w:between w:val="nil"/>
        </w:pBdr>
        <w:spacing w:after="120" w:line="360" w:lineRule="auto"/>
        <w:jc w:val="both"/>
        <w:rPr>
          <w:rFonts w:ascii="Arial" w:eastAsia="Arial" w:hAnsi="Arial" w:cs="Arial"/>
          <w:color w:val="010000"/>
          <w:sz w:val="20"/>
          <w:szCs w:val="20"/>
        </w:rPr>
      </w:pPr>
    </w:p>
    <w:sectPr w:rsidR="00510E34">
      <w:pgSz w:w="11907" w:h="16839"/>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15B8B"/>
    <w:multiLevelType w:val="multilevel"/>
    <w:tmpl w:val="5B98547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66C3199"/>
    <w:multiLevelType w:val="multilevel"/>
    <w:tmpl w:val="E9EC85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95539C"/>
    <w:multiLevelType w:val="multilevel"/>
    <w:tmpl w:val="8CE243E0"/>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A843920"/>
    <w:multiLevelType w:val="multilevel"/>
    <w:tmpl w:val="809A329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08C17F8"/>
    <w:multiLevelType w:val="multilevel"/>
    <w:tmpl w:val="9A8A3A72"/>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9B750C8"/>
    <w:multiLevelType w:val="multilevel"/>
    <w:tmpl w:val="7A08278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EE57D17"/>
    <w:multiLevelType w:val="multilevel"/>
    <w:tmpl w:val="761ED864"/>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6E71309"/>
    <w:multiLevelType w:val="multilevel"/>
    <w:tmpl w:val="03B6C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A031F89"/>
    <w:multiLevelType w:val="multilevel"/>
    <w:tmpl w:val="1CECE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A2A6D47"/>
    <w:multiLevelType w:val="multilevel"/>
    <w:tmpl w:val="1854D24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num>
  <w:num w:numId="2">
    <w:abstractNumId w:val="0"/>
  </w:num>
  <w:num w:numId="3">
    <w:abstractNumId w:val="8"/>
  </w:num>
  <w:num w:numId="4">
    <w:abstractNumId w:val="2"/>
  </w:num>
  <w:num w:numId="5">
    <w:abstractNumId w:val="1"/>
  </w:num>
  <w:num w:numId="6">
    <w:abstractNumId w:val="7"/>
  </w:num>
  <w:num w:numId="7">
    <w:abstractNumId w:val="9"/>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34"/>
    <w:rsid w:val="002455ED"/>
    <w:rsid w:val="00510E34"/>
    <w:rsid w:val="00C70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C625B"/>
  <w15:docId w15:val="{76EA2BC8-549B-43B5-9287-BE73078C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color w:val="B42F49"/>
      <w:sz w:val="16"/>
      <w:szCs w:val="1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line="329" w:lineRule="auto"/>
      <w:ind w:firstLine="400"/>
    </w:pPr>
    <w:rPr>
      <w:rFonts w:ascii="Times New Roman" w:eastAsia="Times New Roman" w:hAnsi="Times New Roman" w:cs="Times New Roman"/>
      <w:sz w:val="22"/>
      <w:szCs w:val="22"/>
    </w:rPr>
  </w:style>
  <w:style w:type="paragraph" w:customStyle="1" w:styleId="Tiu10">
    <w:name w:val="Tiêu đề #1"/>
    <w:basedOn w:val="Normal"/>
    <w:link w:val="Tiu1"/>
    <w:pPr>
      <w:spacing w:line="300" w:lineRule="auto"/>
      <w:jc w:val="center"/>
      <w:outlineLvl w:val="0"/>
    </w:pPr>
    <w:rPr>
      <w:rFonts w:ascii="Times New Roman" w:eastAsia="Times New Roman" w:hAnsi="Times New Roman" w:cs="Times New Roman"/>
      <w:sz w:val="26"/>
      <w:szCs w:val="26"/>
    </w:rPr>
  </w:style>
  <w:style w:type="paragraph" w:customStyle="1" w:styleId="Tiu20">
    <w:name w:val="Tiêu đề #2"/>
    <w:basedOn w:val="Normal"/>
    <w:link w:val="Tiu2"/>
    <w:pPr>
      <w:spacing w:line="326" w:lineRule="auto"/>
      <w:ind w:firstLine="270"/>
      <w:outlineLvl w:val="1"/>
    </w:pPr>
    <w:rPr>
      <w:rFonts w:ascii="Times New Roman" w:eastAsia="Times New Roman" w:hAnsi="Times New Roman" w:cs="Times New Roman"/>
      <w:b/>
      <w:bCs/>
      <w:sz w:val="22"/>
      <w:szCs w:val="22"/>
    </w:rPr>
  </w:style>
  <w:style w:type="paragraph" w:customStyle="1" w:styleId="Vnbnnidung30">
    <w:name w:val="Văn bản nội dung (3)"/>
    <w:basedOn w:val="Normal"/>
    <w:link w:val="Vnbnnidung3"/>
    <w:rPr>
      <w:rFonts w:ascii="Times New Roman" w:eastAsia="Times New Roman" w:hAnsi="Times New Roman" w:cs="Times New Roman"/>
      <w:b/>
      <w:bCs/>
      <w:color w:val="B42F49"/>
      <w:sz w:val="16"/>
      <w:szCs w:val="16"/>
    </w:rPr>
  </w:style>
  <w:style w:type="paragraph" w:customStyle="1" w:styleId="Vnbnnidung20">
    <w:name w:val="Văn bản nội dung (2)"/>
    <w:basedOn w:val="Normal"/>
    <w:link w:val="Vnbnnidung2"/>
    <w:pPr>
      <w:spacing w:line="283" w:lineRule="auto"/>
      <w:jc w:val="center"/>
    </w:pPr>
    <w:rPr>
      <w:rFonts w:ascii="Times New Roman" w:eastAsia="Times New Roman" w:hAnsi="Times New Roman" w:cs="Times New Roman"/>
      <w:sz w:val="26"/>
      <w:szCs w:val="26"/>
    </w:rPr>
  </w:style>
  <w:style w:type="paragraph" w:customStyle="1" w:styleId="Chthchbng0">
    <w:name w:val="Chú thích bảng"/>
    <w:basedOn w:val="Normal"/>
    <w:link w:val="Chthchbng"/>
    <w:pPr>
      <w:spacing w:line="326" w:lineRule="auto"/>
      <w:ind w:firstLine="520"/>
    </w:pPr>
    <w:rPr>
      <w:rFonts w:ascii="Times New Roman" w:eastAsia="Times New Roman" w:hAnsi="Times New Roman" w:cs="Times New Roman"/>
      <w:sz w:val="22"/>
      <w:szCs w:val="22"/>
    </w:rPr>
  </w:style>
  <w:style w:type="paragraph" w:customStyle="1" w:styleId="Khc0">
    <w:name w:val="Khác"/>
    <w:basedOn w:val="Normal"/>
    <w:link w:val="Khc"/>
    <w:pPr>
      <w:spacing w:line="329" w:lineRule="auto"/>
      <w:ind w:firstLine="400"/>
    </w:pPr>
    <w:rPr>
      <w:rFonts w:ascii="Times New Roman" w:eastAsia="Times New Roman" w:hAnsi="Times New Roman" w:cs="Times New Roman"/>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81nuRakVA69CXXvwRx6OQ5P4DA==">CgMxLjAyCGguZ2pkZ3hzOAByITFtd1pwa2g3VWcwdDJBSkNiZ2NCdEc5WUpMWkt2UVBGaQ==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2024-05-04T03:50:00Z</dcterms:created>
  <dcterms:modified xsi:type="dcterms:W3CDTF">2024-05-04T03:50:00Z</dcterms:modified>
</cp:coreProperties>
</file>