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1170" w14:textId="77777777" w:rsidR="00B72778" w:rsidRDefault="008D140F">
      <w:pP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yoevokwg3b3n"/>
      <w:bookmarkEnd w:id="0"/>
      <w:r>
        <w:rPr>
          <w:rFonts w:ascii="Arial" w:hAnsi="Arial"/>
          <w:b/>
          <w:sz w:val="20"/>
        </w:rPr>
        <w:t>MCC: Annual General Mandate 2024</w:t>
      </w:r>
    </w:p>
    <w:p w14:paraId="4158BA9F" w14:textId="77777777" w:rsidR="00B72778" w:rsidRDefault="008D140F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>On April 24, 2024, High-Grade Brick-Tile Corporation announced General Mandate No. 04/04/NQ-DHDCD as follows:</w:t>
      </w:r>
    </w:p>
    <w:p w14:paraId="03FC43CD" w14:textId="77777777" w:rsidR="00B72778" w:rsidRDefault="008D1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General Meeting unanimously approved the following report documents: </w:t>
      </w:r>
      <w:r>
        <w:rPr>
          <w:rFonts w:ascii="Arial" w:hAnsi="Arial"/>
          <w:sz w:val="20"/>
        </w:rPr>
        <w:t xml:space="preserve">Report on production and business activities in 2023, Report on production and business tasks orientation for 2024; Report on the activities of the Board of Directors in 2023 and the </w:t>
      </w:r>
      <w:r>
        <w:rPr>
          <w:rFonts w:ascii="Arial" w:hAnsi="Arial"/>
          <w:sz w:val="20"/>
        </w:rPr>
        <w:t>plan for 2024; Report on the Supervisory Board's activities in 2023 and the plan for 2024; Audited Financial Statements for 2023, in which the production and business targets for 2024 are approved as follows:</w:t>
      </w:r>
    </w:p>
    <w:p w14:paraId="7FC1C15F" w14:textId="77777777" w:rsidR="00B72778" w:rsidRDefault="008D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Construction brick of all kinds 30,000,000 unit</w:t>
      </w:r>
      <w:r>
        <w:rPr>
          <w:rFonts w:ascii="Arial" w:hAnsi="Arial"/>
          <w:sz w:val="20"/>
        </w:rPr>
        <w:t>s</w:t>
      </w:r>
    </w:p>
    <w:p w14:paraId="472458AA" w14:textId="77777777" w:rsidR="00B72778" w:rsidRDefault="008D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Clay of all kinds:  110.000 m</w:t>
      </w:r>
      <w:r>
        <w:rPr>
          <w:rFonts w:ascii="Arial" w:hAnsi="Arial"/>
          <w:sz w:val="20"/>
          <w:vertAlign w:val="superscript"/>
        </w:rPr>
        <w:t>3</w:t>
      </w:r>
    </w:p>
    <w:p w14:paraId="586A5509" w14:textId="77777777" w:rsidR="00B72778" w:rsidRDefault="008D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Revenue: VND 33,840,799,000</w:t>
      </w:r>
    </w:p>
    <w:p w14:paraId="024D2DF7" w14:textId="77777777" w:rsidR="00B72778" w:rsidRDefault="008D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before tax: VND 2,642,090,000</w:t>
      </w:r>
    </w:p>
    <w:p w14:paraId="65E8FB39" w14:textId="77777777" w:rsidR="00B72778" w:rsidRDefault="008D140F">
      <w:p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Implementation of production and business in 2023:</w:t>
      </w:r>
    </w:p>
    <w:tbl>
      <w:tblPr>
        <w:tblStyle w:val="a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651"/>
        <w:gridCol w:w="852"/>
        <w:gridCol w:w="1636"/>
        <w:gridCol w:w="1642"/>
        <w:gridCol w:w="1534"/>
      </w:tblGrid>
      <w:tr w:rsidR="00B72778" w14:paraId="339F9D27" w14:textId="77777777">
        <w:trPr>
          <w:trHeight w:val="994"/>
        </w:trPr>
        <w:tc>
          <w:tcPr>
            <w:tcW w:w="6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FAB724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50AD1A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0DB429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6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C54A29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BAC264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66C03258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5846C3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Compared to Plan 2023 </w:t>
            </w:r>
          </w:p>
        </w:tc>
      </w:tr>
      <w:tr w:rsidR="00B72778" w14:paraId="6A14DCC3" w14:textId="77777777">
        <w:trPr>
          <w:trHeight w:val="346"/>
        </w:trPr>
        <w:tc>
          <w:tcPr>
            <w:tcW w:w="69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5CB3D1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6B19D1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brick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FCA25F0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Piece</w:t>
            </w:r>
          </w:p>
        </w:tc>
        <w:tc>
          <w:tcPr>
            <w:tcW w:w="16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1E5F2D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D3605E8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18,295,000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C8D76D6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61.0%</w:t>
            </w:r>
          </w:p>
        </w:tc>
      </w:tr>
      <w:tr w:rsidR="00B72778" w14:paraId="2F069DF2" w14:textId="77777777">
        <w:trPr>
          <w:trHeight w:val="336"/>
        </w:trPr>
        <w:tc>
          <w:tcPr>
            <w:tcW w:w="69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D6609B2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E8EB7E0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Clay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430C76C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16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E5F32C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120,000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52CE7F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68,051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CCEF56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56.7% </w:t>
            </w:r>
          </w:p>
        </w:tc>
      </w:tr>
      <w:tr w:rsidR="00B72778" w14:paraId="6381FCDB" w14:textId="77777777">
        <w:trPr>
          <w:trHeight w:val="346"/>
        </w:trPr>
        <w:tc>
          <w:tcPr>
            <w:tcW w:w="69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BE60F61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E8B423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1536987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Thousand VND</w:t>
            </w:r>
          </w:p>
        </w:tc>
        <w:tc>
          <w:tcPr>
            <w:tcW w:w="16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804061A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43,531,000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D6B1E23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17,286,549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170127D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39.7%</w:t>
            </w:r>
          </w:p>
        </w:tc>
      </w:tr>
      <w:tr w:rsidR="00B72778" w14:paraId="762671F3" w14:textId="77777777">
        <w:trPr>
          <w:trHeight w:val="374"/>
        </w:trPr>
        <w:tc>
          <w:tcPr>
            <w:tcW w:w="695" w:type="dxa"/>
            <w:shd w:val="clear" w:color="auto" w:fill="FFFFFF"/>
            <w:tcMar>
              <w:top w:w="0" w:type="dxa"/>
              <w:bottom w:w="0" w:type="dxa"/>
            </w:tcMar>
          </w:tcPr>
          <w:p w14:paraId="0CCE4749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bottom w:w="0" w:type="dxa"/>
            </w:tcMar>
          </w:tcPr>
          <w:p w14:paraId="60917A4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tax: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bottom w:w="0" w:type="dxa"/>
            </w:tcMar>
          </w:tcPr>
          <w:p w14:paraId="480E0AC8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Thousand VND</w:t>
            </w:r>
          </w:p>
        </w:tc>
        <w:tc>
          <w:tcPr>
            <w:tcW w:w="1636" w:type="dxa"/>
            <w:shd w:val="clear" w:color="auto" w:fill="FFFFFF"/>
            <w:tcMar>
              <w:top w:w="0" w:type="dxa"/>
              <w:bottom w:w="0" w:type="dxa"/>
            </w:tcMar>
          </w:tcPr>
          <w:p w14:paraId="5DC06B94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5,025,000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bottom w:w="0" w:type="dxa"/>
            </w:tcMar>
          </w:tcPr>
          <w:p w14:paraId="39EBED33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422,085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bottom w:w="0" w:type="dxa"/>
            </w:tcMar>
          </w:tcPr>
          <w:p w14:paraId="2AF78E9A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8.4%</w:t>
            </w:r>
          </w:p>
        </w:tc>
      </w:tr>
    </w:tbl>
    <w:p w14:paraId="43DDF8B6" w14:textId="38779535" w:rsidR="00B72778" w:rsidRDefault="008D1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General Meeting unanimously approved the salary, remuneration, bonus of the Board of Directors, Supervisory Board and the distribution of funds as per Proposal No. 01/TTr-CTY as follows:</w:t>
      </w:r>
    </w:p>
    <w:p w14:paraId="359B4645" w14:textId="77777777" w:rsidR="00B72778" w:rsidRDefault="008D1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2022 dividend payment rate in cash: 4.8% (Shareholders receive VND 480 for every share they own)</w:t>
      </w:r>
    </w:p>
    <w:p w14:paraId="20E38AFA" w14:textId="77777777" w:rsidR="00B72778" w:rsidRDefault="008D1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dividend payout rate for 2024 will be submitted to the annual general meeting of shareholders in April 2025 for consideration and decision after the profit</w:t>
      </w:r>
      <w:r>
        <w:rPr>
          <w:rFonts w:ascii="Arial" w:hAnsi="Arial"/>
          <w:sz w:val="20"/>
        </w:rPr>
        <w:t xml:space="preserve"> results for 2024 are available.</w:t>
      </w:r>
    </w:p>
    <w:p w14:paraId="54575E5A" w14:textId="77777777" w:rsidR="00B72778" w:rsidRDefault="008D1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Salary of the Board of Directors:</w:t>
      </w:r>
    </w:p>
    <w:tbl>
      <w:tblPr>
        <w:tblStyle w:val="a0"/>
        <w:tblW w:w="9010" w:type="dxa"/>
        <w:tblLayout w:type="fixed"/>
        <w:tblLook w:val="0400" w:firstRow="0" w:lastRow="0" w:firstColumn="0" w:lastColumn="0" w:noHBand="0" w:noVBand="1"/>
      </w:tblPr>
      <w:tblGrid>
        <w:gridCol w:w="1023"/>
        <w:gridCol w:w="4826"/>
        <w:gridCol w:w="3161"/>
      </w:tblGrid>
      <w:tr w:rsidR="00B72778" w14:paraId="2836ECAD" w14:textId="77777777">
        <w:trPr>
          <w:trHeight w:val="394"/>
          <w:tblHeader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6CB921D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AB14032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Board of Directors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CF899F4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Salary level</w:t>
            </w:r>
          </w:p>
        </w:tc>
      </w:tr>
      <w:tr w:rsidR="00B72778" w14:paraId="4B32357F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E2263D1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5C20E4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166AE1C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14 million/month.</w:t>
            </w:r>
          </w:p>
        </w:tc>
      </w:tr>
    </w:tbl>
    <w:p w14:paraId="603B345C" w14:textId="77777777" w:rsidR="00B72778" w:rsidRDefault="008D1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profit distribution plan for 2024 is as follows:</w:t>
      </w: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4"/>
        <w:gridCol w:w="5736"/>
      </w:tblGrid>
      <w:tr w:rsidR="00B72778" w14:paraId="73DEE986" w14:textId="77777777">
        <w:trPr>
          <w:trHeight w:val="725"/>
          <w:tblHeader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A54847D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Percentage deducted from profit after tax 2024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6B8BCB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Beneficiaries</w:t>
            </w:r>
          </w:p>
        </w:tc>
      </w:tr>
      <w:tr w:rsidR="00B72778" w14:paraId="0CB7965E" w14:textId="77777777">
        <w:trPr>
          <w:trHeight w:val="350"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9B1A068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33%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E6390D2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Investment and development fund.</w:t>
            </w:r>
          </w:p>
        </w:tc>
      </w:tr>
      <w:tr w:rsidR="00B72778" w14:paraId="33D2FE69" w14:textId="77777777">
        <w:trPr>
          <w:trHeight w:val="350"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A1051F6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F2544F3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and welfare fund:</w:t>
            </w:r>
          </w:p>
        </w:tc>
      </w:tr>
      <w:tr w:rsidR="00B72778" w14:paraId="28E7D538" w14:textId="77777777">
        <w:trPr>
          <w:trHeight w:val="355"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76DDB5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1%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B24413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Remuneration fund of the Board of Directors and Supervisory Board:</w:t>
            </w:r>
          </w:p>
        </w:tc>
      </w:tr>
      <w:tr w:rsidR="00B72778" w14:paraId="576AB026" w14:textId="77777777">
        <w:trPr>
          <w:trHeight w:val="355"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EB9C2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1%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9D3A4EB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fund for the company's executive management board</w:t>
            </w:r>
          </w:p>
        </w:tc>
      </w:tr>
      <w:tr w:rsidR="00B72778" w14:paraId="715C6342" w14:textId="77777777">
        <w:trPr>
          <w:trHeight w:val="374"/>
        </w:trPr>
        <w:tc>
          <w:tcPr>
            <w:tcW w:w="327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2F48769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FB864F" w14:textId="77777777" w:rsidR="00B72778" w:rsidRDefault="008D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fund</w:t>
            </w:r>
          </w:p>
        </w:tc>
      </w:tr>
    </w:tbl>
    <w:p w14:paraId="6770B869" w14:textId="77777777" w:rsidR="00B72778" w:rsidRDefault="008D1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General Meeting unanimously approved the transfer of 5 hectares of land outside the Dong Chinh clay mine planning according to the content of Proposal No. 02/TTr-CTY.</w:t>
      </w:r>
    </w:p>
    <w:p w14:paraId="6A5F80F1" w14:textId="77777777" w:rsidR="00B72778" w:rsidRDefault="008D1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General Meeting unanimously authorized the Board of Directors to select an audit </w:t>
      </w:r>
      <w:r>
        <w:rPr>
          <w:rFonts w:ascii="Arial" w:hAnsi="Arial"/>
          <w:sz w:val="20"/>
        </w:rPr>
        <w:t>company to audit the Financial Statements 2024 for the company according to the content of Proposal No. 03/TTr-CTY.</w:t>
      </w:r>
    </w:p>
    <w:p w14:paraId="6CE27BE2" w14:textId="77777777" w:rsidR="00B72778" w:rsidRDefault="008D14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above is the Annual General Mandate in 2024, term TV (2021-2026), which has been unanimously approved by the General Meeting of Sharehol</w:t>
      </w:r>
      <w:r>
        <w:rPr>
          <w:rFonts w:ascii="Arial" w:hAnsi="Arial"/>
          <w:sz w:val="20"/>
        </w:rPr>
        <w:t>ders. Members of the Board of Directors, Board of Managers, Supervisory Board and shareholders of the company are responsible for implementing this General Mandate.</w:t>
      </w:r>
    </w:p>
    <w:p w14:paraId="47B7813E" w14:textId="77777777" w:rsidR="00B72778" w:rsidRDefault="00B72778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B72778">
      <w:pgSz w:w="11900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8A3"/>
    <w:multiLevelType w:val="multilevel"/>
    <w:tmpl w:val="07907D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B364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4D52FA"/>
    <w:multiLevelType w:val="multilevel"/>
    <w:tmpl w:val="0B10C7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B364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FC5BC3"/>
    <w:multiLevelType w:val="multilevel"/>
    <w:tmpl w:val="4392B2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20" w:hanging="72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280" w:hanging="108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440" w:hanging="1440"/>
      </w:pPr>
    </w:lvl>
    <w:lvl w:ilvl="6">
      <w:start w:val="1"/>
      <w:numFmt w:val="decimal"/>
      <w:lvlText w:val="%1.%2.%3.%4.%5.%6.%7."/>
      <w:lvlJc w:val="left"/>
      <w:pPr>
        <w:ind w:left="3840" w:hanging="1440"/>
      </w:pPr>
    </w:lvl>
    <w:lvl w:ilvl="7">
      <w:start w:val="1"/>
      <w:numFmt w:val="decimal"/>
      <w:lvlText w:val="%1.%2.%3.%4.%5.%6.%7.%8."/>
      <w:lvlJc w:val="left"/>
      <w:pPr>
        <w:ind w:left="4600" w:hanging="1800"/>
      </w:pPr>
    </w:lvl>
    <w:lvl w:ilvl="8">
      <w:start w:val="1"/>
      <w:numFmt w:val="decimal"/>
      <w:lvlText w:val="%1.%2.%3.%4.%5.%6.%7.%8.%9."/>
      <w:lvlJc w:val="left"/>
      <w:pPr>
        <w:ind w:left="50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78"/>
    <w:rsid w:val="008D140F"/>
    <w:rsid w:val="00B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C76"/>
  <w15:docId w15:val="{2325F940-9CB2-4768-AB1D-35E29D5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743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64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64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64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64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64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64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640"/>
      <w:sz w:val="32"/>
      <w:szCs w:val="3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ind w:firstLine="90"/>
    </w:pPr>
    <w:rPr>
      <w:rFonts w:ascii="Arial" w:eastAsia="Arial" w:hAnsi="Arial" w:cs="Arial"/>
      <w:color w:val="474354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3B3640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4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  <w:color w:val="3B3640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3B364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60"/>
      <w:ind w:firstLine="280"/>
    </w:pPr>
    <w:rPr>
      <w:rFonts w:ascii="Times New Roman" w:eastAsia="Times New Roman" w:hAnsi="Times New Roman" w:cs="Times New Roman"/>
      <w:i/>
      <w:iCs/>
      <w:color w:val="3B3640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after="3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B3640"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59" w:lineRule="auto"/>
      <w:ind w:firstLine="700"/>
      <w:outlineLvl w:val="2"/>
    </w:pPr>
    <w:rPr>
      <w:rFonts w:ascii="Times New Roman" w:eastAsia="Times New Roman" w:hAnsi="Times New Roman" w:cs="Times New Roman"/>
      <w:b/>
      <w:bCs/>
      <w:color w:val="3B3640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color w:val="3B364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9lhiKDYTT/xuszNd32Wxa5hzSA==">CgMxLjAyDmgueW9ldm9rd2czYjNuMghoLmdqZGd4czgAciExWWpINF9VTnM5Z3VmSHQtMW9Dd2ZjbmUyV1dvN0pLZEY=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2024-05-03T02:03:00Z</dcterms:created>
  <dcterms:modified xsi:type="dcterms:W3CDTF">2024-05-04T02:24:00Z</dcterms:modified>
</cp:coreProperties>
</file>