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D6A3" w14:textId="77777777" w:rsidR="00572532" w:rsidRPr="00BB43FD" w:rsidRDefault="00BB43FD" w:rsidP="00BB43FD">
      <w:pPr>
        <w:pBdr>
          <w:top w:val="nil"/>
          <w:left w:val="nil"/>
          <w:bottom w:val="nil"/>
          <w:right w:val="nil"/>
          <w:between w:val="nil"/>
        </w:pBdr>
        <w:tabs>
          <w:tab w:val="left" w:pos="4700"/>
        </w:tabs>
        <w:spacing w:after="120" w:line="360" w:lineRule="auto"/>
        <w:rPr>
          <w:rFonts w:ascii="Arial" w:eastAsia="Arial" w:hAnsi="Arial" w:cs="Arial"/>
          <w:b/>
          <w:color w:val="010000"/>
          <w:sz w:val="20"/>
          <w:szCs w:val="20"/>
        </w:rPr>
      </w:pPr>
      <w:bookmarkStart w:id="0" w:name="_GoBack"/>
      <w:bookmarkEnd w:id="0"/>
      <w:r w:rsidRPr="00BB43FD">
        <w:rPr>
          <w:rFonts w:ascii="Arial" w:hAnsi="Arial" w:cs="Arial"/>
          <w:b/>
          <w:color w:val="010000"/>
          <w:sz w:val="20"/>
        </w:rPr>
        <w:t>MES: Annual General Mandate 2024</w:t>
      </w:r>
    </w:p>
    <w:p w14:paraId="16DBE55D" w14:textId="77777777" w:rsidR="00572532" w:rsidRPr="00BB43FD" w:rsidRDefault="00BB43FD" w:rsidP="00BB43FD">
      <w:pPr>
        <w:pBdr>
          <w:top w:val="nil"/>
          <w:left w:val="nil"/>
          <w:bottom w:val="nil"/>
          <w:right w:val="nil"/>
          <w:between w:val="nil"/>
        </w:pBdr>
        <w:tabs>
          <w:tab w:val="left" w:pos="4700"/>
        </w:tabs>
        <w:spacing w:after="120" w:line="360" w:lineRule="auto"/>
        <w:rPr>
          <w:rFonts w:ascii="Arial" w:eastAsia="Arial" w:hAnsi="Arial" w:cs="Arial"/>
          <w:color w:val="010000"/>
          <w:sz w:val="20"/>
          <w:szCs w:val="20"/>
        </w:rPr>
      </w:pPr>
      <w:r w:rsidRPr="00BB43FD">
        <w:rPr>
          <w:rFonts w:ascii="Arial" w:hAnsi="Arial" w:cs="Arial"/>
          <w:color w:val="010000"/>
          <w:sz w:val="20"/>
        </w:rPr>
        <w:t xml:space="preserve">On April 26, 2024, Mechanical, Engineering Service Joint Stock Company announced General Mandate No. 20/2024/NQ-DHDCD as follows: </w:t>
      </w:r>
    </w:p>
    <w:p w14:paraId="0CFAD277" w14:textId="77777777" w:rsidR="00572532" w:rsidRPr="00BB43FD" w:rsidRDefault="00BB43FD" w:rsidP="00BB43FD">
      <w:pPr>
        <w:keepNext/>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Article 1. The General Meeting of Shareholders of Mechanical, Engineering Service Joint Stock Company voted to approve the following General Mandates:</w:t>
      </w:r>
    </w:p>
    <w:p w14:paraId="0D68E31E"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01: Approve the Report on the Board of Directors' activities in 2023 and mission directions for 2024.</w:t>
      </w:r>
    </w:p>
    <w:p w14:paraId="0BDDBF1B"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02: Approve the Supervisory Board's Supervision Report in 2023.</w:t>
      </w:r>
    </w:p>
    <w:p w14:paraId="54F9340B"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03: Approve the Report of the Executive Board on production and business results in 2023 and production and business plan in 2024.</w:t>
      </w:r>
    </w:p>
    <w:p w14:paraId="774E5D8A"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I/ Results of production and business activities in 2023</w:t>
      </w:r>
    </w:p>
    <w:p w14:paraId="14676548"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 xml:space="preserve">The main targets are as follows: </w:t>
      </w:r>
    </w:p>
    <w:p w14:paraId="5DA52F3B"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
        <w:gridCol w:w="2938"/>
        <w:gridCol w:w="1026"/>
        <w:gridCol w:w="1441"/>
        <w:gridCol w:w="1695"/>
        <w:gridCol w:w="1446"/>
      </w:tblGrid>
      <w:tr w:rsidR="00572532" w:rsidRPr="00BB43FD" w14:paraId="1D5E6628" w14:textId="77777777" w:rsidTr="00BB43FD">
        <w:tc>
          <w:tcPr>
            <w:tcW w:w="261" w:type="pct"/>
            <w:shd w:val="clear" w:color="auto" w:fill="auto"/>
            <w:tcMar>
              <w:top w:w="0" w:type="dxa"/>
              <w:bottom w:w="0" w:type="dxa"/>
            </w:tcMar>
            <w:vAlign w:val="center"/>
          </w:tcPr>
          <w:p w14:paraId="2511CD7E"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No.</w:t>
            </w:r>
          </w:p>
        </w:tc>
        <w:tc>
          <w:tcPr>
            <w:tcW w:w="1629" w:type="pct"/>
            <w:shd w:val="clear" w:color="auto" w:fill="auto"/>
            <w:tcMar>
              <w:top w:w="0" w:type="dxa"/>
              <w:bottom w:w="0" w:type="dxa"/>
            </w:tcMar>
            <w:vAlign w:val="center"/>
          </w:tcPr>
          <w:p w14:paraId="37051332"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Target</w:t>
            </w:r>
          </w:p>
        </w:tc>
        <w:tc>
          <w:tcPr>
            <w:tcW w:w="569" w:type="pct"/>
            <w:shd w:val="clear" w:color="auto" w:fill="auto"/>
            <w:tcMar>
              <w:top w:w="0" w:type="dxa"/>
              <w:bottom w:w="0" w:type="dxa"/>
            </w:tcMar>
            <w:vAlign w:val="center"/>
          </w:tcPr>
          <w:p w14:paraId="58BE3663"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Unit</w:t>
            </w:r>
          </w:p>
        </w:tc>
        <w:tc>
          <w:tcPr>
            <w:tcW w:w="799" w:type="pct"/>
            <w:shd w:val="clear" w:color="auto" w:fill="auto"/>
            <w:tcMar>
              <w:top w:w="0" w:type="dxa"/>
              <w:bottom w:w="0" w:type="dxa"/>
            </w:tcMar>
            <w:vAlign w:val="center"/>
          </w:tcPr>
          <w:p w14:paraId="143949E9"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Plan 2023</w:t>
            </w:r>
          </w:p>
        </w:tc>
        <w:tc>
          <w:tcPr>
            <w:tcW w:w="940" w:type="pct"/>
            <w:shd w:val="clear" w:color="auto" w:fill="auto"/>
            <w:tcMar>
              <w:top w:w="0" w:type="dxa"/>
              <w:bottom w:w="0" w:type="dxa"/>
            </w:tcMar>
            <w:vAlign w:val="center"/>
          </w:tcPr>
          <w:p w14:paraId="74D5303B"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Results 2023</w:t>
            </w:r>
          </w:p>
        </w:tc>
        <w:tc>
          <w:tcPr>
            <w:tcW w:w="802" w:type="pct"/>
            <w:shd w:val="clear" w:color="auto" w:fill="auto"/>
            <w:tcMar>
              <w:top w:w="0" w:type="dxa"/>
              <w:bottom w:w="0" w:type="dxa"/>
            </w:tcMar>
            <w:vAlign w:val="center"/>
          </w:tcPr>
          <w:p w14:paraId="31A8374E"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Rates/Notes</w:t>
            </w:r>
          </w:p>
        </w:tc>
      </w:tr>
      <w:tr w:rsidR="00572532" w:rsidRPr="00BB43FD" w14:paraId="55F056EE" w14:textId="77777777" w:rsidTr="00BB43FD">
        <w:tc>
          <w:tcPr>
            <w:tcW w:w="261" w:type="pct"/>
            <w:shd w:val="clear" w:color="auto" w:fill="auto"/>
            <w:tcMar>
              <w:top w:w="0" w:type="dxa"/>
              <w:bottom w:w="0" w:type="dxa"/>
            </w:tcMar>
            <w:vAlign w:val="center"/>
          </w:tcPr>
          <w:p w14:paraId="4981D68F"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1</w:t>
            </w:r>
          </w:p>
        </w:tc>
        <w:tc>
          <w:tcPr>
            <w:tcW w:w="1629" w:type="pct"/>
            <w:shd w:val="clear" w:color="auto" w:fill="auto"/>
            <w:tcMar>
              <w:top w:w="0" w:type="dxa"/>
              <w:bottom w:w="0" w:type="dxa"/>
            </w:tcMar>
            <w:vAlign w:val="center"/>
          </w:tcPr>
          <w:p w14:paraId="15111779"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Revenue and income</w:t>
            </w:r>
          </w:p>
        </w:tc>
        <w:tc>
          <w:tcPr>
            <w:tcW w:w="569" w:type="pct"/>
            <w:shd w:val="clear" w:color="auto" w:fill="auto"/>
            <w:tcMar>
              <w:top w:w="0" w:type="dxa"/>
              <w:bottom w:w="0" w:type="dxa"/>
            </w:tcMar>
            <w:vAlign w:val="center"/>
          </w:tcPr>
          <w:p w14:paraId="4BBE4989"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5E17D8AC"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24,221</w:t>
            </w:r>
          </w:p>
        </w:tc>
        <w:tc>
          <w:tcPr>
            <w:tcW w:w="940" w:type="pct"/>
            <w:shd w:val="clear" w:color="auto" w:fill="auto"/>
            <w:tcMar>
              <w:top w:w="0" w:type="dxa"/>
              <w:bottom w:w="0" w:type="dxa"/>
            </w:tcMar>
            <w:vAlign w:val="center"/>
          </w:tcPr>
          <w:p w14:paraId="53E01866"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7,138</w:t>
            </w:r>
          </w:p>
        </w:tc>
        <w:tc>
          <w:tcPr>
            <w:tcW w:w="802" w:type="pct"/>
            <w:shd w:val="clear" w:color="auto" w:fill="auto"/>
            <w:tcMar>
              <w:top w:w="0" w:type="dxa"/>
              <w:bottom w:w="0" w:type="dxa"/>
            </w:tcMar>
            <w:vAlign w:val="center"/>
          </w:tcPr>
          <w:p w14:paraId="5714D9B2" w14:textId="77777777" w:rsidR="00572532" w:rsidRPr="00BB43FD" w:rsidRDefault="00572532" w:rsidP="00BB43FD">
            <w:pPr>
              <w:spacing w:after="120" w:line="360" w:lineRule="auto"/>
              <w:jc w:val="center"/>
              <w:rPr>
                <w:rFonts w:ascii="Arial" w:eastAsia="Arial" w:hAnsi="Arial" w:cs="Arial"/>
                <w:color w:val="010000"/>
                <w:sz w:val="20"/>
                <w:szCs w:val="20"/>
              </w:rPr>
            </w:pPr>
          </w:p>
        </w:tc>
      </w:tr>
      <w:tr w:rsidR="00572532" w:rsidRPr="00BB43FD" w14:paraId="6F714463" w14:textId="77777777" w:rsidTr="00BB43FD">
        <w:tc>
          <w:tcPr>
            <w:tcW w:w="261" w:type="pct"/>
            <w:shd w:val="clear" w:color="auto" w:fill="auto"/>
            <w:tcMar>
              <w:top w:w="0" w:type="dxa"/>
              <w:bottom w:w="0" w:type="dxa"/>
            </w:tcMar>
            <w:vAlign w:val="center"/>
          </w:tcPr>
          <w:p w14:paraId="0043DD6E"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2</w:t>
            </w:r>
          </w:p>
        </w:tc>
        <w:tc>
          <w:tcPr>
            <w:tcW w:w="1629" w:type="pct"/>
            <w:shd w:val="clear" w:color="auto" w:fill="auto"/>
            <w:tcMar>
              <w:top w:w="0" w:type="dxa"/>
              <w:bottom w:w="0" w:type="dxa"/>
            </w:tcMar>
            <w:vAlign w:val="center"/>
          </w:tcPr>
          <w:p w14:paraId="469266D4"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Profit before tax</w:t>
            </w:r>
          </w:p>
        </w:tc>
        <w:tc>
          <w:tcPr>
            <w:tcW w:w="569" w:type="pct"/>
            <w:shd w:val="clear" w:color="auto" w:fill="auto"/>
            <w:tcMar>
              <w:top w:w="0" w:type="dxa"/>
              <w:bottom w:w="0" w:type="dxa"/>
            </w:tcMar>
            <w:vAlign w:val="center"/>
          </w:tcPr>
          <w:p w14:paraId="797FB0C0"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32ACA6E5"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45</w:t>
            </w:r>
          </w:p>
        </w:tc>
        <w:tc>
          <w:tcPr>
            <w:tcW w:w="940" w:type="pct"/>
            <w:shd w:val="clear" w:color="auto" w:fill="auto"/>
            <w:tcMar>
              <w:top w:w="0" w:type="dxa"/>
              <w:bottom w:w="0" w:type="dxa"/>
            </w:tcMar>
            <w:vAlign w:val="center"/>
          </w:tcPr>
          <w:p w14:paraId="248B5D75"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-8,031</w:t>
            </w:r>
          </w:p>
        </w:tc>
        <w:tc>
          <w:tcPr>
            <w:tcW w:w="802" w:type="pct"/>
            <w:shd w:val="clear" w:color="auto" w:fill="auto"/>
            <w:tcMar>
              <w:top w:w="0" w:type="dxa"/>
              <w:bottom w:w="0" w:type="dxa"/>
            </w:tcMar>
            <w:vAlign w:val="center"/>
          </w:tcPr>
          <w:p w14:paraId="118D292C" w14:textId="77777777" w:rsidR="00572532" w:rsidRPr="00BB43FD" w:rsidRDefault="00572532" w:rsidP="00BB43FD">
            <w:pPr>
              <w:spacing w:after="120" w:line="360" w:lineRule="auto"/>
              <w:jc w:val="center"/>
              <w:rPr>
                <w:rFonts w:ascii="Arial" w:eastAsia="Arial" w:hAnsi="Arial" w:cs="Arial"/>
                <w:color w:val="010000"/>
                <w:sz w:val="20"/>
                <w:szCs w:val="20"/>
              </w:rPr>
            </w:pPr>
          </w:p>
        </w:tc>
      </w:tr>
      <w:tr w:rsidR="00572532" w:rsidRPr="00BB43FD" w14:paraId="120FDF0A" w14:textId="77777777" w:rsidTr="00BB43FD">
        <w:tc>
          <w:tcPr>
            <w:tcW w:w="261" w:type="pct"/>
            <w:shd w:val="clear" w:color="auto" w:fill="auto"/>
            <w:tcMar>
              <w:top w:w="0" w:type="dxa"/>
              <w:bottom w:w="0" w:type="dxa"/>
            </w:tcMar>
            <w:vAlign w:val="center"/>
          </w:tcPr>
          <w:p w14:paraId="67598E23"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3</w:t>
            </w:r>
          </w:p>
        </w:tc>
        <w:tc>
          <w:tcPr>
            <w:tcW w:w="1629" w:type="pct"/>
            <w:shd w:val="clear" w:color="auto" w:fill="auto"/>
            <w:tcMar>
              <w:top w:w="0" w:type="dxa"/>
              <w:bottom w:w="0" w:type="dxa"/>
            </w:tcMar>
            <w:vAlign w:val="center"/>
          </w:tcPr>
          <w:p w14:paraId="71AEBE70"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Profit after tax</w:t>
            </w:r>
          </w:p>
        </w:tc>
        <w:tc>
          <w:tcPr>
            <w:tcW w:w="569" w:type="pct"/>
            <w:shd w:val="clear" w:color="auto" w:fill="auto"/>
            <w:tcMar>
              <w:top w:w="0" w:type="dxa"/>
              <w:bottom w:w="0" w:type="dxa"/>
            </w:tcMar>
            <w:vAlign w:val="center"/>
          </w:tcPr>
          <w:p w14:paraId="57CCB3D7"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631C2156"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45</w:t>
            </w:r>
          </w:p>
        </w:tc>
        <w:tc>
          <w:tcPr>
            <w:tcW w:w="940" w:type="pct"/>
            <w:shd w:val="clear" w:color="auto" w:fill="auto"/>
            <w:tcMar>
              <w:top w:w="0" w:type="dxa"/>
              <w:bottom w:w="0" w:type="dxa"/>
            </w:tcMar>
            <w:vAlign w:val="center"/>
          </w:tcPr>
          <w:p w14:paraId="4937BF1A"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-8,031</w:t>
            </w:r>
          </w:p>
        </w:tc>
        <w:tc>
          <w:tcPr>
            <w:tcW w:w="802" w:type="pct"/>
            <w:shd w:val="clear" w:color="auto" w:fill="auto"/>
            <w:tcMar>
              <w:top w:w="0" w:type="dxa"/>
              <w:bottom w:w="0" w:type="dxa"/>
            </w:tcMar>
            <w:vAlign w:val="center"/>
          </w:tcPr>
          <w:p w14:paraId="7AAB20A2" w14:textId="77777777" w:rsidR="00572532" w:rsidRPr="00BB43FD" w:rsidRDefault="00572532" w:rsidP="00BB43FD">
            <w:pPr>
              <w:spacing w:after="120" w:line="360" w:lineRule="auto"/>
              <w:jc w:val="center"/>
              <w:rPr>
                <w:rFonts w:ascii="Arial" w:eastAsia="Arial" w:hAnsi="Arial" w:cs="Arial"/>
                <w:color w:val="010000"/>
                <w:sz w:val="20"/>
                <w:szCs w:val="20"/>
              </w:rPr>
            </w:pPr>
          </w:p>
        </w:tc>
      </w:tr>
      <w:tr w:rsidR="00572532" w:rsidRPr="00BB43FD" w14:paraId="22FE2CC9" w14:textId="77777777" w:rsidTr="00BB43FD">
        <w:tc>
          <w:tcPr>
            <w:tcW w:w="261" w:type="pct"/>
            <w:shd w:val="clear" w:color="auto" w:fill="auto"/>
            <w:tcMar>
              <w:top w:w="0" w:type="dxa"/>
              <w:bottom w:w="0" w:type="dxa"/>
            </w:tcMar>
            <w:vAlign w:val="center"/>
          </w:tcPr>
          <w:p w14:paraId="05EC4399"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4</w:t>
            </w:r>
          </w:p>
        </w:tc>
        <w:tc>
          <w:tcPr>
            <w:tcW w:w="1629" w:type="pct"/>
            <w:shd w:val="clear" w:color="auto" w:fill="auto"/>
            <w:tcMar>
              <w:top w:w="0" w:type="dxa"/>
              <w:bottom w:w="0" w:type="dxa"/>
            </w:tcMar>
            <w:vAlign w:val="center"/>
          </w:tcPr>
          <w:p w14:paraId="53EA0A90"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Owners’ equity</w:t>
            </w:r>
          </w:p>
        </w:tc>
        <w:tc>
          <w:tcPr>
            <w:tcW w:w="569" w:type="pct"/>
            <w:shd w:val="clear" w:color="auto" w:fill="auto"/>
            <w:tcMar>
              <w:top w:w="0" w:type="dxa"/>
              <w:bottom w:w="0" w:type="dxa"/>
            </w:tcMar>
            <w:vAlign w:val="center"/>
          </w:tcPr>
          <w:p w14:paraId="54A4292D"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38CC8EA5"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171,756</w:t>
            </w:r>
          </w:p>
        </w:tc>
        <w:tc>
          <w:tcPr>
            <w:tcW w:w="940" w:type="pct"/>
            <w:shd w:val="clear" w:color="auto" w:fill="auto"/>
            <w:tcMar>
              <w:top w:w="0" w:type="dxa"/>
              <w:bottom w:w="0" w:type="dxa"/>
            </w:tcMar>
            <w:vAlign w:val="center"/>
          </w:tcPr>
          <w:p w14:paraId="1A892DFB"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163,725</w:t>
            </w:r>
          </w:p>
        </w:tc>
        <w:tc>
          <w:tcPr>
            <w:tcW w:w="802" w:type="pct"/>
            <w:shd w:val="clear" w:color="auto" w:fill="auto"/>
            <w:tcMar>
              <w:top w:w="0" w:type="dxa"/>
              <w:bottom w:w="0" w:type="dxa"/>
            </w:tcMar>
            <w:vAlign w:val="center"/>
          </w:tcPr>
          <w:p w14:paraId="1BB5A817"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95.3%</w:t>
            </w:r>
          </w:p>
        </w:tc>
      </w:tr>
      <w:tr w:rsidR="00572532" w:rsidRPr="00BB43FD" w14:paraId="159335F5" w14:textId="77777777" w:rsidTr="00BB43FD">
        <w:tc>
          <w:tcPr>
            <w:tcW w:w="261" w:type="pct"/>
            <w:shd w:val="clear" w:color="auto" w:fill="auto"/>
            <w:tcMar>
              <w:top w:w="0" w:type="dxa"/>
              <w:bottom w:w="0" w:type="dxa"/>
            </w:tcMar>
            <w:vAlign w:val="center"/>
          </w:tcPr>
          <w:p w14:paraId="0C08D7DD"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5</w:t>
            </w:r>
          </w:p>
        </w:tc>
        <w:tc>
          <w:tcPr>
            <w:tcW w:w="1629" w:type="pct"/>
            <w:shd w:val="clear" w:color="auto" w:fill="auto"/>
            <w:tcMar>
              <w:top w:w="0" w:type="dxa"/>
              <w:bottom w:w="0" w:type="dxa"/>
            </w:tcMar>
            <w:vAlign w:val="center"/>
          </w:tcPr>
          <w:p w14:paraId="4A4DFFA4"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Profit after tax/owners’ equity</w:t>
            </w:r>
          </w:p>
        </w:tc>
        <w:tc>
          <w:tcPr>
            <w:tcW w:w="569" w:type="pct"/>
            <w:shd w:val="clear" w:color="auto" w:fill="auto"/>
            <w:tcMar>
              <w:top w:w="0" w:type="dxa"/>
              <w:bottom w:w="0" w:type="dxa"/>
            </w:tcMar>
            <w:vAlign w:val="center"/>
          </w:tcPr>
          <w:p w14:paraId="2D5525EC"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w:t>
            </w:r>
          </w:p>
        </w:tc>
        <w:tc>
          <w:tcPr>
            <w:tcW w:w="799" w:type="pct"/>
            <w:shd w:val="clear" w:color="auto" w:fill="auto"/>
            <w:tcMar>
              <w:top w:w="0" w:type="dxa"/>
              <w:bottom w:w="0" w:type="dxa"/>
            </w:tcMar>
            <w:vAlign w:val="center"/>
          </w:tcPr>
          <w:p w14:paraId="369CA56D"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0.026%</w:t>
            </w:r>
          </w:p>
        </w:tc>
        <w:tc>
          <w:tcPr>
            <w:tcW w:w="940" w:type="pct"/>
            <w:shd w:val="clear" w:color="auto" w:fill="auto"/>
            <w:tcMar>
              <w:top w:w="0" w:type="dxa"/>
              <w:bottom w:w="0" w:type="dxa"/>
            </w:tcMar>
            <w:vAlign w:val="center"/>
          </w:tcPr>
          <w:p w14:paraId="32832682"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-4.905%</w:t>
            </w:r>
          </w:p>
        </w:tc>
        <w:tc>
          <w:tcPr>
            <w:tcW w:w="802" w:type="pct"/>
            <w:shd w:val="clear" w:color="auto" w:fill="auto"/>
            <w:tcMar>
              <w:top w:w="0" w:type="dxa"/>
              <w:bottom w:w="0" w:type="dxa"/>
            </w:tcMar>
            <w:vAlign w:val="center"/>
          </w:tcPr>
          <w:p w14:paraId="6C690FE2" w14:textId="77777777" w:rsidR="00572532" w:rsidRPr="00BB43FD" w:rsidRDefault="00572532" w:rsidP="00BB43FD">
            <w:pPr>
              <w:spacing w:after="120" w:line="360" w:lineRule="auto"/>
              <w:jc w:val="center"/>
              <w:rPr>
                <w:rFonts w:ascii="Arial" w:eastAsia="Arial" w:hAnsi="Arial" w:cs="Arial"/>
                <w:color w:val="010000"/>
                <w:sz w:val="20"/>
                <w:szCs w:val="20"/>
              </w:rPr>
            </w:pPr>
          </w:p>
        </w:tc>
      </w:tr>
      <w:tr w:rsidR="00572532" w:rsidRPr="00BB43FD" w14:paraId="2E392E76" w14:textId="77777777" w:rsidTr="00BB43FD">
        <w:tc>
          <w:tcPr>
            <w:tcW w:w="261" w:type="pct"/>
            <w:shd w:val="clear" w:color="auto" w:fill="auto"/>
            <w:tcMar>
              <w:top w:w="0" w:type="dxa"/>
              <w:bottom w:w="0" w:type="dxa"/>
            </w:tcMar>
            <w:vAlign w:val="center"/>
          </w:tcPr>
          <w:p w14:paraId="4B89BE5C"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6</w:t>
            </w:r>
          </w:p>
        </w:tc>
        <w:tc>
          <w:tcPr>
            <w:tcW w:w="1629" w:type="pct"/>
            <w:shd w:val="clear" w:color="auto" w:fill="auto"/>
            <w:tcMar>
              <w:top w:w="0" w:type="dxa"/>
              <w:bottom w:w="0" w:type="dxa"/>
            </w:tcMar>
            <w:vAlign w:val="center"/>
          </w:tcPr>
          <w:p w14:paraId="7E58BEC3"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Payable to the State budget</w:t>
            </w:r>
          </w:p>
        </w:tc>
        <w:tc>
          <w:tcPr>
            <w:tcW w:w="569" w:type="pct"/>
            <w:shd w:val="clear" w:color="auto" w:fill="auto"/>
            <w:tcMar>
              <w:top w:w="0" w:type="dxa"/>
              <w:bottom w:w="0" w:type="dxa"/>
            </w:tcMar>
            <w:vAlign w:val="center"/>
          </w:tcPr>
          <w:p w14:paraId="2D9B3BE6"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3755A02D"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30</w:t>
            </w:r>
          </w:p>
        </w:tc>
        <w:tc>
          <w:tcPr>
            <w:tcW w:w="940" w:type="pct"/>
            <w:shd w:val="clear" w:color="auto" w:fill="auto"/>
            <w:tcMar>
              <w:top w:w="0" w:type="dxa"/>
              <w:bottom w:w="0" w:type="dxa"/>
            </w:tcMar>
            <w:vAlign w:val="center"/>
          </w:tcPr>
          <w:p w14:paraId="6AEEABF9"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103</w:t>
            </w:r>
          </w:p>
        </w:tc>
        <w:tc>
          <w:tcPr>
            <w:tcW w:w="802" w:type="pct"/>
            <w:shd w:val="clear" w:color="auto" w:fill="auto"/>
            <w:tcMar>
              <w:top w:w="0" w:type="dxa"/>
              <w:bottom w:w="0" w:type="dxa"/>
            </w:tcMar>
            <w:vAlign w:val="center"/>
          </w:tcPr>
          <w:p w14:paraId="61485030"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343%</w:t>
            </w:r>
          </w:p>
        </w:tc>
      </w:tr>
      <w:tr w:rsidR="00572532" w:rsidRPr="00BB43FD" w14:paraId="447DA96F" w14:textId="77777777" w:rsidTr="00BB43FD">
        <w:tc>
          <w:tcPr>
            <w:tcW w:w="261" w:type="pct"/>
            <w:shd w:val="clear" w:color="auto" w:fill="auto"/>
            <w:tcMar>
              <w:top w:w="0" w:type="dxa"/>
              <w:bottom w:w="0" w:type="dxa"/>
            </w:tcMar>
            <w:vAlign w:val="center"/>
          </w:tcPr>
          <w:p w14:paraId="62B8235B"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7</w:t>
            </w:r>
          </w:p>
        </w:tc>
        <w:tc>
          <w:tcPr>
            <w:tcW w:w="1629" w:type="pct"/>
            <w:shd w:val="clear" w:color="auto" w:fill="auto"/>
            <w:tcMar>
              <w:top w:w="0" w:type="dxa"/>
              <w:bottom w:w="0" w:type="dxa"/>
            </w:tcMar>
            <w:vAlign w:val="center"/>
          </w:tcPr>
          <w:p w14:paraId="4D3146A1"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Total number of employees</w:t>
            </w:r>
          </w:p>
        </w:tc>
        <w:tc>
          <w:tcPr>
            <w:tcW w:w="569" w:type="pct"/>
            <w:shd w:val="clear" w:color="auto" w:fill="auto"/>
            <w:tcMar>
              <w:top w:w="0" w:type="dxa"/>
              <w:bottom w:w="0" w:type="dxa"/>
            </w:tcMar>
            <w:vAlign w:val="center"/>
          </w:tcPr>
          <w:p w14:paraId="766F6FE4"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Person</w:t>
            </w:r>
          </w:p>
        </w:tc>
        <w:tc>
          <w:tcPr>
            <w:tcW w:w="799" w:type="pct"/>
            <w:shd w:val="clear" w:color="auto" w:fill="auto"/>
            <w:tcMar>
              <w:top w:w="0" w:type="dxa"/>
              <w:bottom w:w="0" w:type="dxa"/>
            </w:tcMar>
            <w:vAlign w:val="center"/>
          </w:tcPr>
          <w:p w14:paraId="2C248321"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25</w:t>
            </w:r>
          </w:p>
        </w:tc>
        <w:tc>
          <w:tcPr>
            <w:tcW w:w="940" w:type="pct"/>
            <w:shd w:val="clear" w:color="auto" w:fill="auto"/>
            <w:tcMar>
              <w:top w:w="0" w:type="dxa"/>
              <w:bottom w:w="0" w:type="dxa"/>
            </w:tcMar>
            <w:vAlign w:val="center"/>
          </w:tcPr>
          <w:p w14:paraId="0FC741DD"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21</w:t>
            </w:r>
          </w:p>
        </w:tc>
        <w:tc>
          <w:tcPr>
            <w:tcW w:w="802" w:type="pct"/>
            <w:shd w:val="clear" w:color="auto" w:fill="auto"/>
            <w:tcMar>
              <w:top w:w="0" w:type="dxa"/>
              <w:bottom w:w="0" w:type="dxa"/>
            </w:tcMar>
            <w:vAlign w:val="center"/>
          </w:tcPr>
          <w:p w14:paraId="6A366997" w14:textId="77777777" w:rsidR="00572532" w:rsidRPr="00BB43FD" w:rsidRDefault="00572532" w:rsidP="00BB43FD">
            <w:pPr>
              <w:spacing w:after="120" w:line="360" w:lineRule="auto"/>
              <w:jc w:val="center"/>
              <w:rPr>
                <w:rFonts w:ascii="Arial" w:eastAsia="Arial" w:hAnsi="Arial" w:cs="Arial"/>
                <w:color w:val="010000"/>
                <w:sz w:val="20"/>
                <w:szCs w:val="20"/>
              </w:rPr>
            </w:pPr>
          </w:p>
        </w:tc>
      </w:tr>
      <w:tr w:rsidR="00572532" w:rsidRPr="00BB43FD" w14:paraId="2A5DEF2E" w14:textId="77777777" w:rsidTr="00BB43FD">
        <w:tc>
          <w:tcPr>
            <w:tcW w:w="261" w:type="pct"/>
            <w:shd w:val="clear" w:color="auto" w:fill="auto"/>
            <w:tcMar>
              <w:top w:w="0" w:type="dxa"/>
              <w:bottom w:w="0" w:type="dxa"/>
            </w:tcMar>
            <w:vAlign w:val="center"/>
          </w:tcPr>
          <w:p w14:paraId="23D9F087"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8</w:t>
            </w:r>
          </w:p>
        </w:tc>
        <w:tc>
          <w:tcPr>
            <w:tcW w:w="1629" w:type="pct"/>
            <w:shd w:val="clear" w:color="auto" w:fill="auto"/>
            <w:tcMar>
              <w:top w:w="0" w:type="dxa"/>
              <w:bottom w:w="0" w:type="dxa"/>
            </w:tcMar>
            <w:vAlign w:val="center"/>
          </w:tcPr>
          <w:p w14:paraId="7AED1F6A"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Average income of workers</w:t>
            </w:r>
          </w:p>
        </w:tc>
        <w:tc>
          <w:tcPr>
            <w:tcW w:w="569" w:type="pct"/>
            <w:shd w:val="clear" w:color="auto" w:fill="auto"/>
            <w:tcMar>
              <w:top w:w="0" w:type="dxa"/>
              <w:bottom w:w="0" w:type="dxa"/>
            </w:tcMar>
            <w:vAlign w:val="center"/>
          </w:tcPr>
          <w:p w14:paraId="75DB246F"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Million VND</w:t>
            </w:r>
          </w:p>
        </w:tc>
        <w:tc>
          <w:tcPr>
            <w:tcW w:w="799" w:type="pct"/>
            <w:shd w:val="clear" w:color="auto" w:fill="auto"/>
            <w:tcMar>
              <w:top w:w="0" w:type="dxa"/>
              <w:bottom w:w="0" w:type="dxa"/>
            </w:tcMar>
            <w:vAlign w:val="center"/>
          </w:tcPr>
          <w:p w14:paraId="7311AB22"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5</w:t>
            </w:r>
          </w:p>
        </w:tc>
        <w:tc>
          <w:tcPr>
            <w:tcW w:w="940" w:type="pct"/>
            <w:shd w:val="clear" w:color="auto" w:fill="auto"/>
            <w:tcMar>
              <w:top w:w="0" w:type="dxa"/>
              <w:bottom w:w="0" w:type="dxa"/>
            </w:tcMar>
            <w:vAlign w:val="center"/>
          </w:tcPr>
          <w:p w14:paraId="07DF3E73"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5.1</w:t>
            </w:r>
          </w:p>
        </w:tc>
        <w:tc>
          <w:tcPr>
            <w:tcW w:w="802" w:type="pct"/>
            <w:shd w:val="clear" w:color="auto" w:fill="auto"/>
            <w:tcMar>
              <w:top w:w="0" w:type="dxa"/>
              <w:bottom w:w="0" w:type="dxa"/>
            </w:tcMar>
            <w:vAlign w:val="center"/>
          </w:tcPr>
          <w:p w14:paraId="1A6B8870" w14:textId="77777777" w:rsidR="00572532" w:rsidRPr="00BB43FD" w:rsidRDefault="00BB43FD" w:rsidP="00BB43FD">
            <w:pPr>
              <w:pBdr>
                <w:top w:val="nil"/>
                <w:left w:val="nil"/>
                <w:bottom w:val="nil"/>
                <w:right w:val="nil"/>
                <w:between w:val="nil"/>
              </w:pBdr>
              <w:spacing w:after="120" w:line="360" w:lineRule="auto"/>
              <w:jc w:val="center"/>
              <w:rPr>
                <w:rFonts w:ascii="Arial" w:eastAsia="Arial" w:hAnsi="Arial" w:cs="Arial"/>
                <w:color w:val="010000"/>
                <w:sz w:val="20"/>
                <w:szCs w:val="20"/>
              </w:rPr>
            </w:pPr>
            <w:r w:rsidRPr="00BB43FD">
              <w:rPr>
                <w:rFonts w:ascii="Arial" w:hAnsi="Arial" w:cs="Arial"/>
                <w:color w:val="010000"/>
                <w:sz w:val="20"/>
              </w:rPr>
              <w:t>102%</w:t>
            </w:r>
          </w:p>
        </w:tc>
      </w:tr>
    </w:tbl>
    <w:p w14:paraId="70AD7DEB"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(According to the Audited Financial Statements 2023)</w:t>
      </w:r>
    </w:p>
    <w:p w14:paraId="4AC481C7"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In particular, losses arising due to objective causes are: VND 7,507 million:</w:t>
      </w:r>
    </w:p>
    <w:p w14:paraId="6FB38E39" w14:textId="77777777" w:rsidR="00572532" w:rsidRPr="00BB43FD" w:rsidRDefault="00BB43FD" w:rsidP="00BB43FD">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BB43FD">
        <w:rPr>
          <w:rFonts w:ascii="Arial" w:hAnsi="Arial" w:cs="Arial"/>
          <w:color w:val="010000"/>
          <w:sz w:val="20"/>
        </w:rPr>
        <w:t>Deduction of revenue from the project of upgrading the technical infrastructure of Nguyen Van Cu Street according to Decision No. 6763/QD-STC dated October 10, 2019: VND 178 million;</w:t>
      </w:r>
    </w:p>
    <w:p w14:paraId="5664263A" w14:textId="77777777" w:rsidR="00572532" w:rsidRPr="00BB43FD" w:rsidRDefault="00BB43FD" w:rsidP="00BB43FD">
      <w:pPr>
        <w:numPr>
          <w:ilvl w:val="0"/>
          <w:numId w:val="2"/>
        </w:numPr>
        <w:pBdr>
          <w:top w:val="nil"/>
          <w:left w:val="nil"/>
          <w:bottom w:val="nil"/>
          <w:right w:val="nil"/>
          <w:between w:val="nil"/>
        </w:pBdr>
        <w:tabs>
          <w:tab w:val="left" w:pos="284"/>
          <w:tab w:val="left" w:pos="845"/>
        </w:tabs>
        <w:spacing w:after="120" w:line="360" w:lineRule="auto"/>
        <w:rPr>
          <w:rFonts w:ascii="Arial" w:eastAsia="Arial" w:hAnsi="Arial" w:cs="Arial"/>
          <w:color w:val="010000"/>
          <w:sz w:val="20"/>
          <w:szCs w:val="20"/>
        </w:rPr>
      </w:pPr>
      <w:r w:rsidRPr="00BB43FD">
        <w:rPr>
          <w:rFonts w:ascii="Arial" w:hAnsi="Arial" w:cs="Arial"/>
          <w:color w:val="010000"/>
          <w:sz w:val="20"/>
        </w:rPr>
        <w:t xml:space="preserve">Provision of VND 6,324 million for debts arising since 2002; Provision for devaluation of inventory </w:t>
      </w:r>
      <w:r w:rsidRPr="00BB43FD">
        <w:rPr>
          <w:rFonts w:ascii="Arial" w:hAnsi="Arial" w:cs="Arial"/>
          <w:color w:val="010000"/>
          <w:sz w:val="20"/>
        </w:rPr>
        <w:lastRenderedPageBreak/>
        <w:t>since 2013: VND 107 million; Accounting into expenses VND 551 million of debt arising from 2003 because the debtor has now stopped operating;</w:t>
      </w:r>
    </w:p>
    <w:p w14:paraId="5B1B7348" w14:textId="77777777" w:rsidR="00572532" w:rsidRPr="00BB43FD" w:rsidRDefault="00BB43FD" w:rsidP="00BB43FD">
      <w:pPr>
        <w:numPr>
          <w:ilvl w:val="0"/>
          <w:numId w:val="2"/>
        </w:numPr>
        <w:pBdr>
          <w:top w:val="nil"/>
          <w:left w:val="nil"/>
          <w:bottom w:val="nil"/>
          <w:right w:val="nil"/>
          <w:between w:val="nil"/>
        </w:pBdr>
        <w:tabs>
          <w:tab w:val="left" w:pos="284"/>
          <w:tab w:val="left" w:pos="835"/>
        </w:tabs>
        <w:spacing w:after="120" w:line="360" w:lineRule="auto"/>
        <w:rPr>
          <w:rFonts w:ascii="Arial" w:eastAsia="Arial" w:hAnsi="Arial" w:cs="Arial"/>
          <w:color w:val="010000"/>
          <w:sz w:val="20"/>
          <w:szCs w:val="20"/>
        </w:rPr>
      </w:pPr>
      <w:r w:rsidRPr="00BB43FD">
        <w:rPr>
          <w:rFonts w:ascii="Arial" w:hAnsi="Arial" w:cs="Arial"/>
          <w:color w:val="010000"/>
          <w:sz w:val="20"/>
        </w:rPr>
        <w:t>Penalties for late disclosure of information and late submission of Financial Statements from 2019 to 2021: VND 132 million;</w:t>
      </w:r>
    </w:p>
    <w:p w14:paraId="472286CB" w14:textId="77777777" w:rsidR="00572532" w:rsidRPr="00BB43FD" w:rsidRDefault="00BB43FD" w:rsidP="00BB43FD">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BB43FD">
        <w:rPr>
          <w:rFonts w:ascii="Arial" w:hAnsi="Arial" w:cs="Arial"/>
          <w:color w:val="010000"/>
          <w:sz w:val="20"/>
        </w:rPr>
        <w:t>Costs for restoring operations of unused vehicles, equipment, and machinery from 2019: VND 215 million;</w:t>
      </w:r>
    </w:p>
    <w:p w14:paraId="1299FA55"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04: Approve the Audited Financial Statements 2023.</w:t>
      </w:r>
    </w:p>
    <w:p w14:paraId="38254787"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05: Approve Proposal No. 09/2024/TTr-HDQT dated March 29, 2024 on reporting the results of production and business activities in 2023 and the production and business plan for 2024.</w:t>
      </w:r>
    </w:p>
    <w:p w14:paraId="0935C5D0"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Some basic targets in the 2024 production and business plan are as follows:</w:t>
      </w:r>
    </w:p>
    <w:p w14:paraId="6EF25FC7" w14:textId="77777777" w:rsidR="00572532" w:rsidRPr="00BB43FD" w:rsidRDefault="00BB43FD" w:rsidP="00BB43FD">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Revenue: VND 20 billion</w:t>
      </w:r>
    </w:p>
    <w:p w14:paraId="63513D5E" w14:textId="77777777" w:rsidR="00572532" w:rsidRPr="00BB43FD" w:rsidRDefault="00BB43FD" w:rsidP="00BB43FD">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Profit after tax: VND 32 million</w:t>
      </w:r>
    </w:p>
    <w:p w14:paraId="3EAC2487" w14:textId="77777777" w:rsidR="00572532" w:rsidRPr="00BB43FD" w:rsidRDefault="00BB43FD" w:rsidP="00BB43FD">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Payable to the State budget: VND 120 million</w:t>
      </w:r>
    </w:p>
    <w:p w14:paraId="6D021FAA" w14:textId="77777777" w:rsidR="00572532" w:rsidRPr="00BB43FD" w:rsidRDefault="00BB43FD" w:rsidP="00BB43FD">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Average income of employees: VND 5.2 million/person/month</w:t>
      </w:r>
    </w:p>
    <w:p w14:paraId="0585A7AF" w14:textId="77777777" w:rsidR="00572532" w:rsidRPr="00BB43FD" w:rsidRDefault="00BB43FD" w:rsidP="00BB43FD">
      <w:pPr>
        <w:numPr>
          <w:ilvl w:val="0"/>
          <w:numId w:val="3"/>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06: Approve Proposal No. 10/2024/TTr-HDQT dated March 29, 2024 on the plan to distribute profit after tax in 2023: The Company does not make appropriation for funds and does not pay dividends to shareholders in 2023 because profit after tax in 2023 is negative and there are still accumulated losses.</w:t>
      </w:r>
    </w:p>
    <w:p w14:paraId="737E9FD7" w14:textId="77777777" w:rsidR="00572532" w:rsidRPr="00BB43FD" w:rsidRDefault="00BB43FD" w:rsidP="00BB43FD">
      <w:pPr>
        <w:numPr>
          <w:ilvl w:val="0"/>
          <w:numId w:val="2"/>
        </w:numPr>
        <w:pBdr>
          <w:top w:val="nil"/>
          <w:left w:val="nil"/>
          <w:bottom w:val="nil"/>
          <w:right w:val="nil"/>
          <w:between w:val="nil"/>
        </w:pBdr>
        <w:tabs>
          <w:tab w:val="left" w:pos="887"/>
        </w:tabs>
        <w:spacing w:after="120" w:line="360" w:lineRule="auto"/>
        <w:rPr>
          <w:rFonts w:ascii="Arial" w:eastAsia="Arial" w:hAnsi="Arial" w:cs="Arial"/>
          <w:color w:val="010000"/>
          <w:sz w:val="20"/>
          <w:szCs w:val="20"/>
        </w:rPr>
      </w:pPr>
      <w:r w:rsidRPr="00BB43FD">
        <w:rPr>
          <w:rFonts w:ascii="Arial" w:hAnsi="Arial" w:cs="Arial"/>
          <w:color w:val="010000"/>
          <w:sz w:val="20"/>
        </w:rPr>
        <w:t>Profit after tax according to the Financial Statements 2023 is: - 8,031,064,206, of which some large expenses arose from previous terms:</w:t>
      </w:r>
    </w:p>
    <w:p w14:paraId="5BC6EEF1" w14:textId="77777777" w:rsidR="00572532" w:rsidRPr="00BB43FD" w:rsidRDefault="00BB43FD" w:rsidP="00BB43FD">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B43FD">
        <w:rPr>
          <w:rFonts w:ascii="Arial" w:hAnsi="Arial" w:cs="Arial"/>
          <w:color w:val="010000"/>
          <w:sz w:val="20"/>
        </w:rPr>
        <w:t>Provision for debts from 2002-2018 is: VND 6,323,523,607.</w:t>
      </w:r>
    </w:p>
    <w:p w14:paraId="79C98CDB" w14:textId="77777777" w:rsidR="00572532" w:rsidRPr="00BB43FD" w:rsidRDefault="00BB43FD" w:rsidP="00BB43FD">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B43FD">
        <w:rPr>
          <w:rFonts w:ascii="Arial" w:hAnsi="Arial" w:cs="Arial"/>
          <w:color w:val="010000"/>
          <w:sz w:val="20"/>
        </w:rPr>
        <w:t>Provision for devaluation of inventory: VND 107,075,988</w:t>
      </w:r>
    </w:p>
    <w:p w14:paraId="442DB0AF" w14:textId="77777777" w:rsidR="00572532" w:rsidRPr="00BB43FD" w:rsidRDefault="00BB43FD" w:rsidP="00BB43FD">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B43FD">
        <w:rPr>
          <w:rFonts w:ascii="Arial" w:hAnsi="Arial" w:cs="Arial"/>
          <w:color w:val="010000"/>
          <w:sz w:val="20"/>
        </w:rPr>
        <w:t>Penalties for late submission of Financial Statements from 2019-2022: VND 132,272,931</w:t>
      </w:r>
    </w:p>
    <w:p w14:paraId="27DFFE9F" w14:textId="77777777" w:rsidR="00572532" w:rsidRPr="00BB43FD" w:rsidRDefault="00BB43FD" w:rsidP="00BB43FD">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B43FD">
        <w:rPr>
          <w:rFonts w:ascii="Arial" w:hAnsi="Arial" w:cs="Arial"/>
          <w:color w:val="010000"/>
          <w:sz w:val="20"/>
        </w:rPr>
        <w:t>Restoring vehicles that have stopped operation since 2018: VND 214,972,098</w:t>
      </w:r>
      <w:r w:rsidRPr="00BB43FD">
        <w:rPr>
          <w:rFonts w:ascii="Arial" w:hAnsi="Arial" w:cs="Arial"/>
          <w:color w:val="010000"/>
          <w:sz w:val="20"/>
        </w:rPr>
        <w:br/>
        <w:t>+ Reduced revenue due to audit of lighting works: VND 178,238,199</w:t>
      </w:r>
      <w:r w:rsidRPr="00BB43FD">
        <w:rPr>
          <w:rFonts w:ascii="Arial" w:hAnsi="Arial" w:cs="Arial"/>
          <w:color w:val="010000"/>
          <w:sz w:val="20"/>
        </w:rPr>
        <w:br/>
        <w:t>+ Unrecoverable debts: VND 551,193,122</w:t>
      </w:r>
    </w:p>
    <w:p w14:paraId="5737D375" w14:textId="77777777" w:rsidR="00572532" w:rsidRPr="00BB43FD" w:rsidRDefault="00BB43FD" w:rsidP="00BB43FD">
      <w:pPr>
        <w:numPr>
          <w:ilvl w:val="0"/>
          <w:numId w:val="2"/>
        </w:numPr>
        <w:pBdr>
          <w:top w:val="nil"/>
          <w:left w:val="nil"/>
          <w:bottom w:val="nil"/>
          <w:right w:val="nil"/>
          <w:between w:val="nil"/>
        </w:pBdr>
        <w:tabs>
          <w:tab w:val="left" w:pos="887"/>
        </w:tabs>
        <w:spacing w:after="120" w:line="360" w:lineRule="auto"/>
        <w:rPr>
          <w:rFonts w:ascii="Arial" w:eastAsia="Arial" w:hAnsi="Arial" w:cs="Arial"/>
          <w:color w:val="010000"/>
          <w:sz w:val="20"/>
          <w:szCs w:val="20"/>
        </w:rPr>
      </w:pPr>
      <w:r w:rsidRPr="00BB43FD">
        <w:rPr>
          <w:rFonts w:ascii="Arial" w:hAnsi="Arial" w:cs="Arial"/>
          <w:color w:val="010000"/>
          <w:sz w:val="20"/>
        </w:rPr>
        <w:t xml:space="preserve">The accumulated undistributed profit after tax as of December 31, 2023, including the provision for previous debts, is: VND -22,275,289,290 </w:t>
      </w:r>
    </w:p>
    <w:p w14:paraId="13B8041A" w14:textId="77777777" w:rsidR="00572532" w:rsidRPr="00BB43FD" w:rsidRDefault="00BB43FD" w:rsidP="00BB43FD">
      <w:pPr>
        <w:pBdr>
          <w:top w:val="nil"/>
          <w:left w:val="nil"/>
          <w:bottom w:val="nil"/>
          <w:right w:val="nil"/>
          <w:between w:val="nil"/>
        </w:pBdr>
        <w:tabs>
          <w:tab w:val="left" w:pos="887"/>
        </w:tabs>
        <w:spacing w:after="120" w:line="360" w:lineRule="auto"/>
        <w:rPr>
          <w:rFonts w:ascii="Arial" w:eastAsia="Arial" w:hAnsi="Arial" w:cs="Arial"/>
          <w:color w:val="010000"/>
          <w:sz w:val="20"/>
          <w:szCs w:val="20"/>
        </w:rPr>
      </w:pPr>
      <w:r w:rsidRPr="00BB43FD">
        <w:rPr>
          <w:rFonts w:ascii="Arial" w:hAnsi="Arial" w:cs="Arial"/>
          <w:color w:val="010000"/>
          <w:sz w:val="20"/>
        </w:rPr>
        <w:t>Because the Company still has to continue to make up for previous losses, there is no longer any profit for appropriation for funds and paying dividends to shareholders. Therefore, we respectfully submit to the General Meeting of Shareholders to approve no fund appropriation and no dividends to shareholders in 2023.</w:t>
      </w:r>
    </w:p>
    <w:p w14:paraId="15820FB2" w14:textId="77777777" w:rsidR="00572532" w:rsidRPr="00BB43FD" w:rsidRDefault="00BB43FD" w:rsidP="00BB43FD">
      <w:pPr>
        <w:numPr>
          <w:ilvl w:val="0"/>
          <w:numId w:val="3"/>
        </w:numPr>
        <w:pBdr>
          <w:top w:val="nil"/>
          <w:left w:val="nil"/>
          <w:bottom w:val="nil"/>
          <w:right w:val="nil"/>
          <w:between w:val="nil"/>
        </w:pBdr>
        <w:tabs>
          <w:tab w:val="left" w:pos="701"/>
        </w:tabs>
        <w:spacing w:after="120" w:line="360" w:lineRule="auto"/>
        <w:rPr>
          <w:rFonts w:ascii="Arial" w:eastAsia="Arial" w:hAnsi="Arial" w:cs="Arial"/>
          <w:color w:val="010000"/>
          <w:sz w:val="20"/>
          <w:szCs w:val="20"/>
        </w:rPr>
      </w:pPr>
      <w:r w:rsidRPr="00BB43FD">
        <w:rPr>
          <w:rFonts w:ascii="Arial" w:hAnsi="Arial" w:cs="Arial"/>
          <w:color w:val="010000"/>
          <w:sz w:val="20"/>
        </w:rPr>
        <w:t xml:space="preserve">General Mandate No. 07: Approve Proposal No. 11/2024/TTr-HDQT dated March 29, 2024 on </w:t>
      </w:r>
      <w:r w:rsidRPr="00BB43FD">
        <w:rPr>
          <w:rFonts w:ascii="Arial" w:hAnsi="Arial" w:cs="Arial"/>
          <w:color w:val="010000"/>
          <w:sz w:val="20"/>
        </w:rPr>
        <w:lastRenderedPageBreak/>
        <w:t>the accounting plan to adjust old outstanding debts from 2003 to 2017.</w:t>
      </w:r>
    </w:p>
    <w:p w14:paraId="39A0E69F" w14:textId="77777777" w:rsidR="00572532" w:rsidRPr="00BB43FD" w:rsidRDefault="00BB43FD" w:rsidP="00BB43FD">
      <w:pPr>
        <w:numPr>
          <w:ilvl w:val="0"/>
          <w:numId w:val="3"/>
        </w:numPr>
        <w:pBdr>
          <w:top w:val="nil"/>
          <w:left w:val="nil"/>
          <w:bottom w:val="nil"/>
          <w:right w:val="nil"/>
          <w:between w:val="nil"/>
        </w:pBdr>
        <w:tabs>
          <w:tab w:val="left" w:pos="701"/>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08: Approve Proposal No. 12/2024/TTr-HDQT dated March 29, 2024 on the plan to pay remuneration for members of the Board of Directors and the Supervisory Board of the Company in 2024.</w:t>
      </w:r>
    </w:p>
    <w:p w14:paraId="6CBC3C1F"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The Company does not pay remuneration to the Board of Directors and the Supervisory Board in 2024.</w:t>
      </w:r>
    </w:p>
    <w:p w14:paraId="0C5B73B7" w14:textId="77777777" w:rsidR="00572532" w:rsidRPr="00BB43FD" w:rsidRDefault="00BB43FD" w:rsidP="00BB43FD">
      <w:pPr>
        <w:numPr>
          <w:ilvl w:val="0"/>
          <w:numId w:val="3"/>
        </w:numPr>
        <w:pBdr>
          <w:top w:val="nil"/>
          <w:left w:val="nil"/>
          <w:bottom w:val="nil"/>
          <w:right w:val="nil"/>
          <w:between w:val="nil"/>
        </w:pBdr>
        <w:tabs>
          <w:tab w:val="left" w:pos="711"/>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09: Approve Report No. 13/2024/TTr-BKS dated March 29, 2024 on selecting an independent audit company to audit the Company's Financial Statements 2024.</w:t>
      </w:r>
    </w:p>
    <w:p w14:paraId="2B72F019"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r w:rsidRPr="00BB43FD">
        <w:rPr>
          <w:rFonts w:ascii="Arial" w:hAnsi="Arial" w:cs="Arial"/>
          <w:color w:val="010000"/>
          <w:sz w:val="20"/>
        </w:rPr>
        <w:t>The General Meeting of Shareholders authorized the Board of Directors of the Company to select an audit company for the Financial Statements 2024, in the list of auditing enterprises for 2024 announced by the Ministry of Finance and approved by the State Securities Commission for auditing public interest entities.</w:t>
      </w:r>
    </w:p>
    <w:p w14:paraId="7371C6E5" w14:textId="77777777" w:rsidR="00572532" w:rsidRPr="00BB43FD" w:rsidRDefault="00BB43FD" w:rsidP="00BB43FD">
      <w:pPr>
        <w:numPr>
          <w:ilvl w:val="0"/>
          <w:numId w:val="3"/>
        </w:numPr>
        <w:pBdr>
          <w:top w:val="nil"/>
          <w:left w:val="nil"/>
          <w:bottom w:val="nil"/>
          <w:right w:val="nil"/>
          <w:between w:val="nil"/>
        </w:pBdr>
        <w:tabs>
          <w:tab w:val="left" w:pos="806"/>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10: Approve Proposal No. 14/2024/TTr-HDQT dated March 29, 2024 on authorizing the Company's Board of Directors to carry out procedures for divesting state capital at the Company.</w:t>
      </w:r>
    </w:p>
    <w:p w14:paraId="6EE83AE5" w14:textId="77777777" w:rsidR="00572532" w:rsidRPr="00BB43FD" w:rsidRDefault="00BB43FD" w:rsidP="00BB43FD">
      <w:pPr>
        <w:numPr>
          <w:ilvl w:val="0"/>
          <w:numId w:val="3"/>
        </w:numPr>
        <w:pBdr>
          <w:top w:val="nil"/>
          <w:left w:val="nil"/>
          <w:bottom w:val="nil"/>
          <w:right w:val="nil"/>
          <w:between w:val="nil"/>
        </w:pBdr>
        <w:tabs>
          <w:tab w:val="left" w:pos="811"/>
        </w:tabs>
        <w:spacing w:after="120" w:line="360" w:lineRule="auto"/>
        <w:rPr>
          <w:rFonts w:ascii="Arial" w:eastAsia="Arial" w:hAnsi="Arial" w:cs="Arial"/>
          <w:color w:val="010000"/>
          <w:sz w:val="20"/>
          <w:szCs w:val="20"/>
        </w:rPr>
      </w:pPr>
      <w:r w:rsidRPr="00BB43FD">
        <w:rPr>
          <w:rFonts w:ascii="Arial" w:hAnsi="Arial" w:cs="Arial"/>
          <w:color w:val="010000"/>
          <w:sz w:val="20"/>
        </w:rPr>
        <w:t>General Mandate No. 11: Approve Proposal No. 15/2024/TTr-HDQT dated March 29, 2024 on authorizing the Company's Board of Directors to carry out work related to office exchange.</w:t>
      </w:r>
    </w:p>
    <w:p w14:paraId="5E285F32" w14:textId="77777777" w:rsidR="00572532" w:rsidRPr="00BB43FD" w:rsidRDefault="00BB43FD" w:rsidP="00BB43FD">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BB43FD">
        <w:rPr>
          <w:rFonts w:ascii="Arial" w:hAnsi="Arial" w:cs="Arial"/>
          <w:color w:val="010000"/>
          <w:sz w:val="20"/>
        </w:rPr>
        <w:t>Article 2: This General Mandate takes effect from the date of its signing. Shareholders, the Board of Directors, the Supervisory Board, the Board of Management, Heads of departments/branches/units under the Company and related individuals are responsible for implementing this General Mandate.</w:t>
      </w:r>
    </w:p>
    <w:sectPr w:rsidR="00572532" w:rsidRPr="00BB43FD" w:rsidSect="00BB43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80F3F"/>
    <w:multiLevelType w:val="multilevel"/>
    <w:tmpl w:val="14DEC5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F53BAA"/>
    <w:multiLevelType w:val="multilevel"/>
    <w:tmpl w:val="0BE013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EE36A8"/>
    <w:multiLevelType w:val="multilevel"/>
    <w:tmpl w:val="250A5F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32"/>
    <w:rsid w:val="00572532"/>
    <w:rsid w:val="00951103"/>
    <w:rsid w:val="00BB43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2DE2C"/>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312" w:lineRule="auto"/>
      <w:ind w:firstLine="220"/>
    </w:pPr>
    <w:rPr>
      <w:rFonts w:ascii="Times New Roman" w:eastAsia="Times New Roman" w:hAnsi="Times New Roman" w:cs="Times New Roman"/>
      <w:sz w:val="22"/>
      <w:szCs w:val="22"/>
    </w:rPr>
  </w:style>
  <w:style w:type="paragraph" w:customStyle="1" w:styleId="Tiu30">
    <w:name w:val="Tiêu đề #3"/>
    <w:basedOn w:val="Normal"/>
    <w:link w:val="Tiu3"/>
    <w:pPr>
      <w:spacing w:line="343" w:lineRule="auto"/>
      <w:ind w:firstLine="140"/>
      <w:outlineLvl w:val="2"/>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Times New Roman" w:eastAsia="Times New Roman" w:hAnsi="Times New Roman" w:cs="Times New Roman"/>
      <w:sz w:val="28"/>
      <w:szCs w:val="28"/>
    </w:rPr>
  </w:style>
  <w:style w:type="paragraph" w:customStyle="1" w:styleId="Chthchbng0">
    <w:name w:val="Chú thích bảng"/>
    <w:basedOn w:val="Normal"/>
    <w:link w:val="Chthchbng"/>
    <w:pPr>
      <w:spacing w:line="295" w:lineRule="auto"/>
      <w:ind w:firstLine="230"/>
    </w:pPr>
    <w:rPr>
      <w:rFonts w:ascii="Times New Roman" w:eastAsia="Times New Roman" w:hAnsi="Times New Roman" w:cs="Times New Roman"/>
      <w:sz w:val="22"/>
      <w:szCs w:val="22"/>
    </w:rPr>
  </w:style>
  <w:style w:type="paragraph" w:customStyle="1" w:styleId="Khc0">
    <w:name w:val="Khác"/>
    <w:basedOn w:val="Normal"/>
    <w:link w:val="Khc"/>
    <w:pPr>
      <w:spacing w:line="312" w:lineRule="auto"/>
      <w:ind w:firstLine="22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3ofYv8HIKH4pHu2VLOPjMBCRCw==">CgMxLjAyCGguZ2pkZ3hzOAByITFqeUZXZ2dwMDBzQ2RCRkhTam8zR0ppRXdLLXNpTjJ5WQ==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2024-05-04T03:35:00Z</dcterms:created>
  <dcterms:modified xsi:type="dcterms:W3CDTF">2024-05-04T03:35:00Z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abc861ba5e342b9b31565049645e9e1f9d917c196c5b3c7da82fbda51e77b0eb</vt:lpwstr>
  </property>
</Properties>
</file>