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C7A34" w14:textId="77777777" w:rsidR="00EE1D90" w:rsidRPr="0016059D" w:rsidRDefault="0016059D" w:rsidP="0016059D">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16059D">
        <w:rPr>
          <w:rFonts w:ascii="Arial" w:hAnsi="Arial" w:cs="Arial"/>
          <w:b/>
          <w:color w:val="010000"/>
          <w:sz w:val="20"/>
        </w:rPr>
        <w:t>MKP: Annual General Mandate 2024</w:t>
      </w:r>
    </w:p>
    <w:p w14:paraId="2138F888" w14:textId="77777777" w:rsidR="00EE1D90" w:rsidRPr="0016059D" w:rsidRDefault="0016059D" w:rsidP="00160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059D">
        <w:rPr>
          <w:rFonts w:ascii="Arial" w:hAnsi="Arial" w:cs="Arial"/>
          <w:color w:val="010000"/>
          <w:sz w:val="20"/>
        </w:rPr>
        <w:t>On April 25, 2024, Mekophar Chemical Pharmaceutical Joint Stock Company announced General Mandate No. 32/NQ-DHDCD as follows:</w:t>
      </w:r>
    </w:p>
    <w:p w14:paraId="21A33281" w14:textId="77777777" w:rsidR="00EE1D90" w:rsidRPr="0016059D" w:rsidRDefault="0016059D" w:rsidP="00160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059D">
        <w:rPr>
          <w:rFonts w:ascii="Arial" w:hAnsi="Arial" w:cs="Arial"/>
          <w:color w:val="010000"/>
          <w:sz w:val="20"/>
        </w:rPr>
        <w:t>Article 1. Approve the report on production and business results in 2023 and directions for 2024:</w:t>
      </w:r>
    </w:p>
    <w:p w14:paraId="0CD54214" w14:textId="77777777" w:rsidR="00EE1D90" w:rsidRPr="0016059D" w:rsidRDefault="0016059D" w:rsidP="0016059D">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6059D">
        <w:rPr>
          <w:rFonts w:ascii="Arial" w:hAnsi="Arial" w:cs="Arial"/>
          <w:color w:val="010000"/>
          <w:sz w:val="20"/>
        </w:rPr>
        <w:t>Consolidated production and business results in 2023:</w:t>
      </w:r>
    </w:p>
    <w:p w14:paraId="6C54AA1E" w14:textId="77777777" w:rsidR="00EE1D90" w:rsidRPr="0016059D" w:rsidRDefault="0016059D" w:rsidP="0016059D">
      <w:pPr>
        <w:pBdr>
          <w:top w:val="nil"/>
          <w:left w:val="nil"/>
          <w:bottom w:val="nil"/>
          <w:right w:val="nil"/>
          <w:between w:val="nil"/>
        </w:pBdr>
        <w:tabs>
          <w:tab w:val="left" w:pos="432"/>
          <w:tab w:val="left" w:pos="5652"/>
        </w:tabs>
        <w:spacing w:after="120" w:line="360" w:lineRule="auto"/>
        <w:rPr>
          <w:rFonts w:ascii="Arial" w:eastAsia="Arial" w:hAnsi="Arial" w:cs="Arial"/>
          <w:color w:val="010000"/>
          <w:sz w:val="20"/>
          <w:szCs w:val="20"/>
        </w:rPr>
      </w:pPr>
      <w:r w:rsidRPr="0016059D">
        <w:rPr>
          <w:rFonts w:ascii="Arial" w:hAnsi="Arial" w:cs="Arial"/>
          <w:color w:val="010000"/>
          <w:sz w:val="20"/>
        </w:rPr>
        <w:t>Revenue: VND 904,747 million</w:t>
      </w:r>
    </w:p>
    <w:p w14:paraId="070F2B3A" w14:textId="77777777" w:rsidR="00EE1D90" w:rsidRPr="0016059D" w:rsidRDefault="0016059D" w:rsidP="0016059D">
      <w:pPr>
        <w:pBdr>
          <w:top w:val="nil"/>
          <w:left w:val="nil"/>
          <w:bottom w:val="nil"/>
          <w:right w:val="nil"/>
          <w:between w:val="nil"/>
        </w:pBdr>
        <w:tabs>
          <w:tab w:val="left" w:pos="432"/>
          <w:tab w:val="left" w:pos="5652"/>
        </w:tabs>
        <w:spacing w:after="120" w:line="360" w:lineRule="auto"/>
        <w:rPr>
          <w:rFonts w:ascii="Arial" w:eastAsia="Arial" w:hAnsi="Arial" w:cs="Arial"/>
          <w:color w:val="010000"/>
          <w:sz w:val="20"/>
          <w:szCs w:val="20"/>
        </w:rPr>
      </w:pPr>
      <w:r w:rsidRPr="0016059D">
        <w:rPr>
          <w:rFonts w:ascii="Arial" w:hAnsi="Arial" w:cs="Arial"/>
          <w:color w:val="010000"/>
          <w:sz w:val="20"/>
        </w:rPr>
        <w:t>Profit before tax: VND 43,314 million</w:t>
      </w:r>
    </w:p>
    <w:p w14:paraId="6BF9F9F4" w14:textId="77777777" w:rsidR="00EE1D90" w:rsidRPr="0016059D" w:rsidRDefault="0016059D" w:rsidP="0016059D">
      <w:pPr>
        <w:pBdr>
          <w:top w:val="nil"/>
          <w:left w:val="nil"/>
          <w:bottom w:val="nil"/>
          <w:right w:val="nil"/>
          <w:between w:val="nil"/>
        </w:pBdr>
        <w:tabs>
          <w:tab w:val="left" w:pos="432"/>
          <w:tab w:val="left" w:pos="6350"/>
        </w:tabs>
        <w:spacing w:after="120" w:line="360" w:lineRule="auto"/>
        <w:rPr>
          <w:rFonts w:ascii="Arial" w:eastAsia="Arial" w:hAnsi="Arial" w:cs="Arial"/>
          <w:color w:val="010000"/>
          <w:sz w:val="20"/>
          <w:szCs w:val="20"/>
        </w:rPr>
      </w:pPr>
      <w:r w:rsidRPr="0016059D">
        <w:rPr>
          <w:rFonts w:ascii="Arial" w:hAnsi="Arial" w:cs="Arial"/>
          <w:color w:val="010000"/>
          <w:sz w:val="20"/>
        </w:rPr>
        <w:t>Dividends in 2023: 5%/share.</w:t>
      </w:r>
    </w:p>
    <w:p w14:paraId="6FF6F415" w14:textId="77777777" w:rsidR="00EE1D90" w:rsidRPr="0016059D" w:rsidRDefault="0016059D" w:rsidP="0016059D">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6059D">
        <w:rPr>
          <w:rFonts w:ascii="Arial" w:hAnsi="Arial" w:cs="Arial"/>
          <w:color w:val="010000"/>
          <w:sz w:val="20"/>
        </w:rPr>
        <w:t>Plan for consolidated production and business activities in 2024:</w:t>
      </w:r>
    </w:p>
    <w:p w14:paraId="6FFEBFF0" w14:textId="77777777" w:rsidR="00EE1D90" w:rsidRPr="0016059D" w:rsidRDefault="0016059D" w:rsidP="00160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059D">
        <w:rPr>
          <w:rFonts w:ascii="Arial" w:hAnsi="Arial" w:cs="Arial"/>
          <w:color w:val="010000"/>
          <w:sz w:val="20"/>
        </w:rPr>
        <w:t>Revenue: VND 900,000 million</w:t>
      </w:r>
    </w:p>
    <w:p w14:paraId="1B165333" w14:textId="77777777" w:rsidR="00EE1D90" w:rsidRPr="0016059D" w:rsidRDefault="0016059D" w:rsidP="00160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059D">
        <w:rPr>
          <w:rFonts w:ascii="Arial" w:hAnsi="Arial" w:cs="Arial"/>
          <w:color w:val="010000"/>
          <w:sz w:val="20"/>
        </w:rPr>
        <w:t>Profit before tax: VND 50,000 million</w:t>
      </w:r>
    </w:p>
    <w:p w14:paraId="42828C7E" w14:textId="278427B5" w:rsidR="00EE1D90" w:rsidRPr="0016059D" w:rsidRDefault="0016059D" w:rsidP="00160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059D">
        <w:rPr>
          <w:rFonts w:ascii="Arial" w:hAnsi="Arial" w:cs="Arial"/>
          <w:color w:val="010000"/>
          <w:sz w:val="20"/>
        </w:rPr>
        <w:t>Dividends in 2024: 8%/share.</w:t>
      </w:r>
    </w:p>
    <w:p w14:paraId="255483C2" w14:textId="77777777" w:rsidR="00EE1D90" w:rsidRPr="0016059D" w:rsidRDefault="0016059D" w:rsidP="00160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059D">
        <w:rPr>
          <w:rFonts w:ascii="Arial" w:hAnsi="Arial" w:cs="Arial"/>
          <w:color w:val="010000"/>
          <w:sz w:val="20"/>
        </w:rPr>
        <w:t>Article 2. Approve the report on Board of Directors activities in 2023 and directions for 2024:</w:t>
      </w:r>
    </w:p>
    <w:p w14:paraId="364F75FB" w14:textId="77777777" w:rsidR="00EE1D90" w:rsidRPr="0016059D" w:rsidRDefault="0016059D" w:rsidP="00160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059D">
        <w:rPr>
          <w:rFonts w:ascii="Arial" w:hAnsi="Arial" w:cs="Arial"/>
          <w:color w:val="010000"/>
          <w:sz w:val="20"/>
        </w:rPr>
        <w:t>Article 3. Approve the audited report on financial results 2023:</w:t>
      </w:r>
    </w:p>
    <w:p w14:paraId="216DE31F" w14:textId="77777777" w:rsidR="00EE1D90" w:rsidRPr="0016059D" w:rsidRDefault="0016059D" w:rsidP="00160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059D">
        <w:rPr>
          <w:rFonts w:ascii="Arial" w:hAnsi="Arial" w:cs="Arial"/>
          <w:color w:val="010000"/>
          <w:sz w:val="20"/>
        </w:rPr>
        <w:t>Article 4. Approve the Proposal on profit distribution and dividend distribution plan for 2023:</w:t>
      </w:r>
    </w:p>
    <w:p w14:paraId="0FAED3F0" w14:textId="77777777" w:rsidR="00EE1D90" w:rsidRPr="0016059D" w:rsidRDefault="0016059D" w:rsidP="0016059D">
      <w:pPr>
        <w:numPr>
          <w:ilvl w:val="0"/>
          <w:numId w:val="1"/>
        </w:numPr>
        <w:pBdr>
          <w:top w:val="nil"/>
          <w:left w:val="nil"/>
          <w:bottom w:val="nil"/>
          <w:right w:val="nil"/>
          <w:between w:val="nil"/>
        </w:pBdr>
        <w:tabs>
          <w:tab w:val="left" w:pos="432"/>
          <w:tab w:val="left" w:pos="1958"/>
        </w:tabs>
        <w:spacing w:after="120" w:line="360" w:lineRule="auto"/>
        <w:rPr>
          <w:rFonts w:ascii="Arial" w:eastAsia="Arial" w:hAnsi="Arial" w:cs="Arial"/>
          <w:color w:val="010000"/>
          <w:sz w:val="20"/>
          <w:szCs w:val="20"/>
        </w:rPr>
      </w:pPr>
      <w:r w:rsidRPr="0016059D">
        <w:rPr>
          <w:rFonts w:ascii="Arial" w:hAnsi="Arial" w:cs="Arial"/>
          <w:color w:val="010000"/>
          <w:sz w:val="20"/>
        </w:rPr>
        <w:t>Total profit in 2023: 43,314,331,519</w:t>
      </w:r>
    </w:p>
    <w:p w14:paraId="41055017" w14:textId="77777777" w:rsidR="00EE1D90" w:rsidRPr="0016059D" w:rsidRDefault="0016059D" w:rsidP="0016059D">
      <w:pPr>
        <w:numPr>
          <w:ilvl w:val="0"/>
          <w:numId w:val="1"/>
        </w:numPr>
        <w:pBdr>
          <w:top w:val="nil"/>
          <w:left w:val="nil"/>
          <w:bottom w:val="nil"/>
          <w:right w:val="nil"/>
          <w:between w:val="nil"/>
        </w:pBdr>
        <w:tabs>
          <w:tab w:val="left" w:pos="432"/>
          <w:tab w:val="left" w:pos="1972"/>
        </w:tabs>
        <w:spacing w:after="120" w:line="360" w:lineRule="auto"/>
        <w:rPr>
          <w:rFonts w:ascii="Arial" w:eastAsia="Arial" w:hAnsi="Arial" w:cs="Arial"/>
          <w:color w:val="010000"/>
          <w:sz w:val="20"/>
          <w:szCs w:val="20"/>
        </w:rPr>
      </w:pPr>
      <w:r w:rsidRPr="0016059D">
        <w:rPr>
          <w:rFonts w:ascii="Arial" w:hAnsi="Arial" w:cs="Arial"/>
          <w:color w:val="010000"/>
          <w:sz w:val="20"/>
        </w:rPr>
        <w:t>Total profit after tax: 25,114,127,514</w:t>
      </w:r>
    </w:p>
    <w:p w14:paraId="03DE5B26" w14:textId="77777777" w:rsidR="00EE1D90" w:rsidRPr="0016059D" w:rsidRDefault="0016059D" w:rsidP="0016059D">
      <w:pPr>
        <w:numPr>
          <w:ilvl w:val="0"/>
          <w:numId w:val="1"/>
        </w:numPr>
        <w:pBdr>
          <w:top w:val="nil"/>
          <w:left w:val="nil"/>
          <w:bottom w:val="nil"/>
          <w:right w:val="nil"/>
          <w:between w:val="nil"/>
        </w:pBdr>
        <w:tabs>
          <w:tab w:val="left" w:pos="432"/>
          <w:tab w:val="left" w:pos="1972"/>
        </w:tabs>
        <w:spacing w:after="120" w:line="360" w:lineRule="auto"/>
        <w:rPr>
          <w:rFonts w:ascii="Arial" w:eastAsia="Arial" w:hAnsi="Arial" w:cs="Arial"/>
          <w:color w:val="010000"/>
          <w:sz w:val="20"/>
          <w:szCs w:val="20"/>
        </w:rPr>
      </w:pPr>
      <w:r w:rsidRPr="0016059D">
        <w:rPr>
          <w:rFonts w:ascii="Arial" w:hAnsi="Arial" w:cs="Arial"/>
          <w:color w:val="010000"/>
          <w:sz w:val="20"/>
        </w:rPr>
        <w:t>Expenses for the executive Board of Directors and Supervisory Board in 2023: 408,000,000</w:t>
      </w:r>
    </w:p>
    <w:p w14:paraId="045B7DA7" w14:textId="77777777" w:rsidR="00EE1D90" w:rsidRPr="0016059D" w:rsidRDefault="0016059D" w:rsidP="0016059D">
      <w:pPr>
        <w:numPr>
          <w:ilvl w:val="0"/>
          <w:numId w:val="1"/>
        </w:numPr>
        <w:pBdr>
          <w:top w:val="nil"/>
          <w:left w:val="nil"/>
          <w:bottom w:val="nil"/>
          <w:right w:val="nil"/>
          <w:between w:val="nil"/>
        </w:pBdr>
        <w:tabs>
          <w:tab w:val="left" w:pos="432"/>
          <w:tab w:val="left" w:pos="1972"/>
        </w:tabs>
        <w:spacing w:after="120" w:line="360" w:lineRule="auto"/>
        <w:rPr>
          <w:rFonts w:ascii="Arial" w:eastAsia="Arial" w:hAnsi="Arial" w:cs="Arial"/>
          <w:color w:val="010000"/>
          <w:sz w:val="20"/>
          <w:szCs w:val="20"/>
        </w:rPr>
      </w:pPr>
      <w:r w:rsidRPr="0016059D">
        <w:rPr>
          <w:rFonts w:ascii="Arial" w:hAnsi="Arial" w:cs="Arial"/>
          <w:color w:val="010000"/>
          <w:sz w:val="20"/>
        </w:rPr>
        <w:t>The remaining profits distributed: 24,706,127,514</w:t>
      </w:r>
    </w:p>
    <w:p w14:paraId="44F00FAA" w14:textId="77777777" w:rsidR="00EE1D90" w:rsidRPr="0016059D" w:rsidRDefault="0016059D" w:rsidP="0016059D">
      <w:pPr>
        <w:numPr>
          <w:ilvl w:val="0"/>
          <w:numId w:val="1"/>
        </w:numPr>
        <w:pBdr>
          <w:top w:val="nil"/>
          <w:left w:val="nil"/>
          <w:bottom w:val="nil"/>
          <w:right w:val="nil"/>
          <w:between w:val="nil"/>
        </w:pBdr>
        <w:tabs>
          <w:tab w:val="left" w:pos="432"/>
          <w:tab w:val="left" w:pos="1972"/>
        </w:tabs>
        <w:spacing w:after="120" w:line="360" w:lineRule="auto"/>
        <w:rPr>
          <w:rFonts w:ascii="Arial" w:eastAsia="Arial" w:hAnsi="Arial" w:cs="Arial"/>
          <w:color w:val="010000"/>
          <w:sz w:val="20"/>
          <w:szCs w:val="20"/>
        </w:rPr>
      </w:pPr>
      <w:r w:rsidRPr="0016059D">
        <w:rPr>
          <w:rFonts w:ascii="Arial" w:hAnsi="Arial" w:cs="Arial"/>
          <w:color w:val="010000"/>
          <w:sz w:val="20"/>
        </w:rPr>
        <w:t>Expected appropriation for funds: 5,929,470,603</w:t>
      </w:r>
    </w:p>
    <w:p w14:paraId="4895B5BD" w14:textId="77777777" w:rsidR="00EE1D90" w:rsidRPr="0016059D" w:rsidRDefault="0016059D" w:rsidP="0016059D">
      <w:pPr>
        <w:numPr>
          <w:ilvl w:val="0"/>
          <w:numId w:val="5"/>
        </w:numPr>
        <w:pBdr>
          <w:top w:val="nil"/>
          <w:left w:val="nil"/>
          <w:bottom w:val="nil"/>
          <w:right w:val="nil"/>
          <w:between w:val="nil"/>
        </w:pBdr>
        <w:tabs>
          <w:tab w:val="left" w:pos="432"/>
          <w:tab w:val="left" w:pos="1972"/>
        </w:tabs>
        <w:spacing w:after="120" w:line="360" w:lineRule="auto"/>
        <w:ind w:left="0" w:firstLine="0"/>
        <w:rPr>
          <w:rFonts w:ascii="Arial" w:eastAsia="Arial" w:hAnsi="Arial" w:cs="Arial"/>
          <w:color w:val="010000"/>
          <w:sz w:val="20"/>
          <w:szCs w:val="20"/>
        </w:rPr>
      </w:pPr>
      <w:r w:rsidRPr="0016059D">
        <w:rPr>
          <w:rFonts w:ascii="Arial" w:hAnsi="Arial" w:cs="Arial"/>
          <w:color w:val="010000"/>
          <w:sz w:val="20"/>
        </w:rPr>
        <w:t>Development and investment fund (8%): 1,976,490,201</w:t>
      </w:r>
    </w:p>
    <w:p w14:paraId="3269EA5A" w14:textId="77777777" w:rsidR="00EE1D90" w:rsidRPr="0016059D" w:rsidRDefault="0016059D" w:rsidP="0016059D">
      <w:pPr>
        <w:numPr>
          <w:ilvl w:val="0"/>
          <w:numId w:val="5"/>
        </w:numPr>
        <w:pBdr>
          <w:top w:val="nil"/>
          <w:left w:val="nil"/>
          <w:bottom w:val="nil"/>
          <w:right w:val="nil"/>
          <w:between w:val="nil"/>
        </w:pBdr>
        <w:tabs>
          <w:tab w:val="left" w:pos="432"/>
          <w:tab w:val="left" w:pos="1972"/>
        </w:tabs>
        <w:spacing w:after="120" w:line="360" w:lineRule="auto"/>
        <w:ind w:left="0" w:firstLine="0"/>
        <w:rPr>
          <w:rFonts w:ascii="Arial" w:eastAsia="Arial" w:hAnsi="Arial" w:cs="Arial"/>
          <w:color w:val="010000"/>
          <w:sz w:val="20"/>
          <w:szCs w:val="20"/>
        </w:rPr>
      </w:pPr>
      <w:r w:rsidRPr="0016059D">
        <w:rPr>
          <w:rFonts w:ascii="Arial" w:hAnsi="Arial" w:cs="Arial"/>
          <w:color w:val="010000"/>
          <w:sz w:val="20"/>
        </w:rPr>
        <w:t>Bonus and welfare fund (16%): 3,952,980,402</w:t>
      </w:r>
    </w:p>
    <w:p w14:paraId="24505E9B" w14:textId="77777777" w:rsidR="00EE1D90" w:rsidRPr="0016059D" w:rsidRDefault="0016059D" w:rsidP="0016059D">
      <w:pPr>
        <w:numPr>
          <w:ilvl w:val="0"/>
          <w:numId w:val="1"/>
        </w:numPr>
        <w:pBdr>
          <w:top w:val="nil"/>
          <w:left w:val="nil"/>
          <w:bottom w:val="nil"/>
          <w:right w:val="nil"/>
          <w:between w:val="nil"/>
        </w:pBdr>
        <w:tabs>
          <w:tab w:val="left" w:pos="432"/>
          <w:tab w:val="left" w:pos="1972"/>
        </w:tabs>
        <w:spacing w:after="120" w:line="360" w:lineRule="auto"/>
        <w:rPr>
          <w:rFonts w:ascii="Arial" w:eastAsia="Arial" w:hAnsi="Arial" w:cs="Arial"/>
          <w:color w:val="010000"/>
          <w:sz w:val="20"/>
          <w:szCs w:val="20"/>
        </w:rPr>
      </w:pPr>
      <w:r w:rsidRPr="0016059D">
        <w:rPr>
          <w:rFonts w:ascii="Arial" w:hAnsi="Arial" w:cs="Arial"/>
          <w:color w:val="010000"/>
          <w:sz w:val="20"/>
        </w:rPr>
        <w:t>Remaining profit for dividend payment in 2023: 18,776,656,911</w:t>
      </w:r>
    </w:p>
    <w:p w14:paraId="3A4A26F7" w14:textId="77777777" w:rsidR="00EE1D90" w:rsidRPr="0016059D" w:rsidRDefault="0016059D" w:rsidP="0016059D">
      <w:pPr>
        <w:numPr>
          <w:ilvl w:val="0"/>
          <w:numId w:val="1"/>
        </w:numPr>
        <w:pBdr>
          <w:top w:val="nil"/>
          <w:left w:val="nil"/>
          <w:bottom w:val="nil"/>
          <w:right w:val="nil"/>
          <w:between w:val="nil"/>
        </w:pBdr>
        <w:tabs>
          <w:tab w:val="left" w:pos="432"/>
          <w:tab w:val="left" w:pos="1972"/>
        </w:tabs>
        <w:spacing w:after="120" w:line="360" w:lineRule="auto"/>
        <w:rPr>
          <w:rFonts w:ascii="Arial" w:eastAsia="Arial" w:hAnsi="Arial" w:cs="Arial"/>
          <w:color w:val="010000"/>
          <w:sz w:val="20"/>
          <w:szCs w:val="20"/>
        </w:rPr>
      </w:pPr>
      <w:r w:rsidRPr="0016059D">
        <w:rPr>
          <w:rFonts w:ascii="Arial" w:hAnsi="Arial" w:cs="Arial"/>
          <w:color w:val="010000"/>
          <w:sz w:val="20"/>
        </w:rPr>
        <w:t>Undistributed profits of previous years: 8,395,912,898</w:t>
      </w:r>
    </w:p>
    <w:p w14:paraId="49C5B695" w14:textId="77777777" w:rsidR="00EE1D90" w:rsidRPr="0016059D" w:rsidRDefault="0016059D" w:rsidP="0016059D">
      <w:pPr>
        <w:numPr>
          <w:ilvl w:val="0"/>
          <w:numId w:val="1"/>
        </w:numPr>
        <w:pBdr>
          <w:top w:val="nil"/>
          <w:left w:val="nil"/>
          <w:bottom w:val="nil"/>
          <w:right w:val="nil"/>
          <w:between w:val="nil"/>
        </w:pBdr>
        <w:tabs>
          <w:tab w:val="left" w:pos="432"/>
          <w:tab w:val="left" w:pos="1972"/>
        </w:tabs>
        <w:spacing w:after="120" w:line="360" w:lineRule="auto"/>
        <w:rPr>
          <w:rFonts w:ascii="Arial" w:eastAsia="Arial" w:hAnsi="Arial" w:cs="Arial"/>
          <w:color w:val="010000"/>
          <w:sz w:val="20"/>
          <w:szCs w:val="20"/>
        </w:rPr>
      </w:pPr>
      <w:r w:rsidRPr="0016059D">
        <w:rPr>
          <w:rFonts w:ascii="Arial" w:hAnsi="Arial" w:cs="Arial"/>
          <w:color w:val="010000"/>
          <w:sz w:val="20"/>
        </w:rPr>
        <w:t>Total profit used for dividend payment: 27,172,569,809</w:t>
      </w:r>
    </w:p>
    <w:p w14:paraId="40FA5EB3" w14:textId="77777777" w:rsidR="00EE1D90" w:rsidRPr="0016059D" w:rsidRDefault="0016059D" w:rsidP="0016059D">
      <w:pPr>
        <w:numPr>
          <w:ilvl w:val="0"/>
          <w:numId w:val="1"/>
        </w:numPr>
        <w:pBdr>
          <w:top w:val="nil"/>
          <w:left w:val="nil"/>
          <w:bottom w:val="nil"/>
          <w:right w:val="nil"/>
          <w:between w:val="nil"/>
        </w:pBdr>
        <w:tabs>
          <w:tab w:val="left" w:pos="432"/>
          <w:tab w:val="left" w:pos="1972"/>
        </w:tabs>
        <w:spacing w:after="120" w:line="360" w:lineRule="auto"/>
        <w:rPr>
          <w:rFonts w:ascii="Arial" w:eastAsia="Arial" w:hAnsi="Arial" w:cs="Arial"/>
          <w:color w:val="010000"/>
          <w:sz w:val="20"/>
          <w:szCs w:val="20"/>
        </w:rPr>
      </w:pPr>
      <w:r w:rsidRPr="0016059D">
        <w:rPr>
          <w:rFonts w:ascii="Arial" w:hAnsi="Arial" w:cs="Arial"/>
          <w:color w:val="010000"/>
          <w:sz w:val="20"/>
        </w:rPr>
        <w:t>Expected cash dividend rate in 2023 is 5%/share: 12,634,110,500</w:t>
      </w:r>
    </w:p>
    <w:p w14:paraId="600FDA6F" w14:textId="77777777" w:rsidR="00EE1D90" w:rsidRPr="0016059D" w:rsidRDefault="0016059D" w:rsidP="0016059D">
      <w:pPr>
        <w:numPr>
          <w:ilvl w:val="0"/>
          <w:numId w:val="1"/>
        </w:numPr>
        <w:pBdr>
          <w:top w:val="nil"/>
          <w:left w:val="nil"/>
          <w:bottom w:val="nil"/>
          <w:right w:val="nil"/>
          <w:between w:val="nil"/>
        </w:pBdr>
        <w:tabs>
          <w:tab w:val="left" w:pos="432"/>
          <w:tab w:val="left" w:pos="1972"/>
        </w:tabs>
        <w:spacing w:after="120" w:line="360" w:lineRule="auto"/>
        <w:rPr>
          <w:rFonts w:ascii="Arial" w:eastAsia="Arial" w:hAnsi="Arial" w:cs="Arial"/>
          <w:color w:val="010000"/>
          <w:sz w:val="20"/>
          <w:szCs w:val="20"/>
        </w:rPr>
      </w:pPr>
      <w:r w:rsidRPr="0016059D">
        <w:rPr>
          <w:rFonts w:ascii="Arial" w:hAnsi="Arial" w:cs="Arial"/>
          <w:color w:val="010000"/>
          <w:sz w:val="20"/>
        </w:rPr>
        <w:t>Remaining profit transferred to 2024: 14,538,459,309</w:t>
      </w:r>
    </w:p>
    <w:p w14:paraId="1C58CA23" w14:textId="77777777" w:rsidR="00EE1D90" w:rsidRPr="0016059D" w:rsidRDefault="0016059D" w:rsidP="00160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059D">
        <w:rPr>
          <w:rFonts w:ascii="Arial" w:hAnsi="Arial" w:cs="Arial"/>
          <w:color w:val="010000"/>
          <w:sz w:val="20"/>
        </w:rPr>
        <w:t>Article 5. Approve the report of the Supervisory Board:</w:t>
      </w:r>
    </w:p>
    <w:p w14:paraId="234BC036" w14:textId="77777777" w:rsidR="00EE1D90" w:rsidRPr="0016059D" w:rsidRDefault="0016059D" w:rsidP="00160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059D">
        <w:rPr>
          <w:rFonts w:ascii="Arial" w:hAnsi="Arial" w:cs="Arial"/>
          <w:color w:val="010000"/>
          <w:sz w:val="20"/>
        </w:rPr>
        <w:t>Article 6. Approve the Proposal:</w:t>
      </w:r>
    </w:p>
    <w:p w14:paraId="2C199A15" w14:textId="77777777" w:rsidR="00EE1D90" w:rsidRPr="0016059D" w:rsidRDefault="0016059D" w:rsidP="00160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059D">
        <w:rPr>
          <w:rFonts w:ascii="Arial" w:hAnsi="Arial" w:cs="Arial"/>
          <w:color w:val="010000"/>
          <w:sz w:val="20"/>
        </w:rPr>
        <w:t>Agree to authorize the Board of Directors to select 01 of 05 Audit companies for 2024 from the following Audit companies:</w:t>
      </w:r>
    </w:p>
    <w:p w14:paraId="6D38CF86" w14:textId="77777777" w:rsidR="00EE1D90" w:rsidRPr="0016059D" w:rsidRDefault="0016059D" w:rsidP="0016059D">
      <w:pPr>
        <w:numPr>
          <w:ilvl w:val="0"/>
          <w:numId w:val="7"/>
        </w:numPr>
        <w:pBdr>
          <w:top w:val="nil"/>
          <w:left w:val="nil"/>
          <w:bottom w:val="nil"/>
          <w:right w:val="nil"/>
          <w:between w:val="nil"/>
        </w:pBdr>
        <w:tabs>
          <w:tab w:val="left" w:pos="259"/>
          <w:tab w:val="left" w:pos="432"/>
        </w:tabs>
        <w:spacing w:after="120" w:line="360" w:lineRule="auto"/>
        <w:rPr>
          <w:rFonts w:ascii="Arial" w:eastAsia="Arial" w:hAnsi="Arial" w:cs="Arial"/>
          <w:color w:val="010000"/>
          <w:sz w:val="20"/>
          <w:szCs w:val="20"/>
        </w:rPr>
      </w:pPr>
      <w:r w:rsidRPr="0016059D">
        <w:rPr>
          <w:rFonts w:ascii="Arial" w:hAnsi="Arial" w:cs="Arial"/>
          <w:color w:val="010000"/>
          <w:sz w:val="20"/>
        </w:rPr>
        <w:lastRenderedPageBreak/>
        <w:t>Auditing &amp; Informatic Services Company Limited (AISC).</w:t>
      </w:r>
    </w:p>
    <w:p w14:paraId="377E34DA" w14:textId="77777777" w:rsidR="00EE1D90" w:rsidRPr="0016059D" w:rsidRDefault="0016059D" w:rsidP="0016059D">
      <w:pPr>
        <w:numPr>
          <w:ilvl w:val="0"/>
          <w:numId w:val="2"/>
        </w:numPr>
        <w:pBdr>
          <w:top w:val="nil"/>
          <w:left w:val="nil"/>
          <w:bottom w:val="nil"/>
          <w:right w:val="nil"/>
          <w:between w:val="nil"/>
        </w:pBdr>
        <w:tabs>
          <w:tab w:val="left" w:pos="324"/>
          <w:tab w:val="left" w:pos="432"/>
        </w:tabs>
        <w:spacing w:after="120" w:line="360" w:lineRule="auto"/>
        <w:rPr>
          <w:rFonts w:ascii="Arial" w:eastAsia="Arial" w:hAnsi="Arial" w:cs="Arial"/>
          <w:color w:val="010000"/>
          <w:sz w:val="20"/>
          <w:szCs w:val="20"/>
        </w:rPr>
      </w:pPr>
      <w:r w:rsidRPr="0016059D">
        <w:rPr>
          <w:rFonts w:ascii="Arial" w:hAnsi="Arial" w:cs="Arial"/>
          <w:color w:val="010000"/>
          <w:sz w:val="20"/>
        </w:rPr>
        <w:t>AASC Auditing Firm Company Limited.</w:t>
      </w:r>
    </w:p>
    <w:p w14:paraId="7FBE5BB2" w14:textId="77777777" w:rsidR="00EE1D90" w:rsidRPr="0016059D" w:rsidRDefault="0016059D" w:rsidP="0016059D">
      <w:pPr>
        <w:numPr>
          <w:ilvl w:val="0"/>
          <w:numId w:val="2"/>
        </w:numPr>
        <w:pBdr>
          <w:top w:val="nil"/>
          <w:left w:val="nil"/>
          <w:bottom w:val="nil"/>
          <w:right w:val="nil"/>
          <w:between w:val="nil"/>
        </w:pBdr>
        <w:tabs>
          <w:tab w:val="left" w:pos="317"/>
          <w:tab w:val="left" w:pos="432"/>
        </w:tabs>
        <w:spacing w:after="120" w:line="360" w:lineRule="auto"/>
        <w:rPr>
          <w:rFonts w:ascii="Arial" w:eastAsia="Arial" w:hAnsi="Arial" w:cs="Arial"/>
          <w:color w:val="010000"/>
          <w:sz w:val="20"/>
          <w:szCs w:val="20"/>
        </w:rPr>
      </w:pPr>
      <w:r w:rsidRPr="0016059D">
        <w:rPr>
          <w:rFonts w:ascii="Arial" w:hAnsi="Arial" w:cs="Arial"/>
          <w:color w:val="010000"/>
          <w:sz w:val="20"/>
        </w:rPr>
        <w:t>AFC Vietnam Auditing Company Limited (AFC).</w:t>
      </w:r>
    </w:p>
    <w:p w14:paraId="44D0A6F6" w14:textId="77777777" w:rsidR="00EE1D90" w:rsidRPr="0016059D" w:rsidRDefault="0016059D" w:rsidP="0016059D">
      <w:pPr>
        <w:numPr>
          <w:ilvl w:val="0"/>
          <w:numId w:val="2"/>
        </w:numPr>
        <w:pBdr>
          <w:top w:val="nil"/>
          <w:left w:val="nil"/>
          <w:bottom w:val="nil"/>
          <w:right w:val="nil"/>
          <w:between w:val="nil"/>
        </w:pBdr>
        <w:tabs>
          <w:tab w:val="left" w:pos="324"/>
          <w:tab w:val="left" w:pos="432"/>
        </w:tabs>
        <w:spacing w:after="120" w:line="360" w:lineRule="auto"/>
        <w:rPr>
          <w:rFonts w:ascii="Arial" w:eastAsia="Arial" w:hAnsi="Arial" w:cs="Arial"/>
          <w:color w:val="010000"/>
          <w:sz w:val="20"/>
          <w:szCs w:val="20"/>
        </w:rPr>
      </w:pPr>
      <w:r w:rsidRPr="0016059D">
        <w:rPr>
          <w:rFonts w:ascii="Arial" w:hAnsi="Arial" w:cs="Arial"/>
          <w:color w:val="010000"/>
          <w:sz w:val="20"/>
        </w:rPr>
        <w:t>Ernst &amp; Young Vietnam Limited.</w:t>
      </w:r>
    </w:p>
    <w:p w14:paraId="13A20968" w14:textId="77777777" w:rsidR="00EE1D90" w:rsidRPr="0016059D" w:rsidRDefault="0016059D" w:rsidP="0016059D">
      <w:pPr>
        <w:numPr>
          <w:ilvl w:val="0"/>
          <w:numId w:val="2"/>
        </w:numPr>
        <w:pBdr>
          <w:top w:val="nil"/>
          <w:left w:val="nil"/>
          <w:bottom w:val="nil"/>
          <w:right w:val="nil"/>
          <w:between w:val="nil"/>
        </w:pBdr>
        <w:tabs>
          <w:tab w:val="left" w:pos="313"/>
          <w:tab w:val="left" w:pos="432"/>
        </w:tabs>
        <w:spacing w:after="120" w:line="360" w:lineRule="auto"/>
        <w:rPr>
          <w:rFonts w:ascii="Arial" w:eastAsia="Arial" w:hAnsi="Arial" w:cs="Arial"/>
          <w:color w:val="010000"/>
          <w:sz w:val="20"/>
          <w:szCs w:val="20"/>
        </w:rPr>
      </w:pPr>
      <w:r w:rsidRPr="0016059D">
        <w:rPr>
          <w:rFonts w:ascii="Arial" w:hAnsi="Arial" w:cs="Arial"/>
          <w:color w:val="010000"/>
          <w:sz w:val="20"/>
        </w:rPr>
        <w:t>A&amp;C Auditing and Consulting Company Limited.</w:t>
      </w:r>
    </w:p>
    <w:p w14:paraId="4A4F8CAF" w14:textId="77777777" w:rsidR="00EE1D90" w:rsidRPr="0016059D" w:rsidRDefault="0016059D" w:rsidP="00160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059D">
        <w:rPr>
          <w:rFonts w:ascii="Arial" w:hAnsi="Arial" w:cs="Arial"/>
          <w:color w:val="010000"/>
          <w:sz w:val="20"/>
        </w:rPr>
        <w:t>Article 7. Approve the Proposal to amend and supplement the Charter:</w:t>
      </w:r>
    </w:p>
    <w:p w14:paraId="68D4EE5D" w14:textId="77777777" w:rsidR="00EE1D90" w:rsidRPr="0016059D" w:rsidRDefault="0016059D" w:rsidP="00160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059D">
        <w:rPr>
          <w:rFonts w:ascii="Arial" w:hAnsi="Arial" w:cs="Arial"/>
          <w:color w:val="010000"/>
          <w:sz w:val="20"/>
        </w:rPr>
        <w:t>Article 8. Approve the Proposal to amend and supplement the operating regulations of the Board of Directors:</w:t>
      </w:r>
    </w:p>
    <w:p w14:paraId="4BC948FD" w14:textId="77777777" w:rsidR="00EE1D90" w:rsidRPr="0016059D" w:rsidRDefault="0016059D" w:rsidP="00160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059D">
        <w:rPr>
          <w:rFonts w:ascii="Arial" w:hAnsi="Arial" w:cs="Arial"/>
          <w:color w:val="010000"/>
          <w:sz w:val="20"/>
        </w:rPr>
        <w:t>Article 9. Approve the Proposal to amend and supplement the Internal Regulations on corporate governance:</w:t>
      </w:r>
    </w:p>
    <w:p w14:paraId="0401FEA3" w14:textId="77777777" w:rsidR="00EE1D90" w:rsidRPr="0016059D" w:rsidRDefault="0016059D" w:rsidP="00160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059D">
        <w:rPr>
          <w:rFonts w:ascii="Arial" w:hAnsi="Arial" w:cs="Arial"/>
          <w:color w:val="010000"/>
          <w:sz w:val="20"/>
        </w:rPr>
        <w:t>Article 10. Approve the Proposal:</w:t>
      </w:r>
    </w:p>
    <w:p w14:paraId="5B9255D5" w14:textId="77777777" w:rsidR="00EE1D90" w:rsidRPr="0016059D" w:rsidRDefault="0016059D" w:rsidP="0016059D">
      <w:pPr>
        <w:numPr>
          <w:ilvl w:val="0"/>
          <w:numId w:val="3"/>
        </w:numPr>
        <w:pBdr>
          <w:top w:val="nil"/>
          <w:left w:val="nil"/>
          <w:bottom w:val="nil"/>
          <w:right w:val="nil"/>
          <w:between w:val="nil"/>
        </w:pBdr>
        <w:tabs>
          <w:tab w:val="left" w:pos="8"/>
          <w:tab w:val="left" w:pos="432"/>
        </w:tabs>
        <w:spacing w:after="120" w:line="360" w:lineRule="auto"/>
        <w:rPr>
          <w:rFonts w:ascii="Arial" w:eastAsia="Arial" w:hAnsi="Arial" w:cs="Arial"/>
          <w:color w:val="010000"/>
          <w:sz w:val="20"/>
          <w:szCs w:val="20"/>
        </w:rPr>
      </w:pPr>
      <w:r w:rsidRPr="0016059D">
        <w:rPr>
          <w:rFonts w:ascii="Arial" w:hAnsi="Arial" w:cs="Arial"/>
          <w:color w:val="010000"/>
          <w:sz w:val="20"/>
        </w:rPr>
        <w:t>Operating expenses of the Board of Directors and Supervisory Board are 0.3% of net production revenue in 2024.</w:t>
      </w:r>
    </w:p>
    <w:p w14:paraId="17F3A313" w14:textId="77777777" w:rsidR="00EE1D90" w:rsidRPr="0016059D" w:rsidRDefault="0016059D" w:rsidP="0016059D">
      <w:pPr>
        <w:numPr>
          <w:ilvl w:val="0"/>
          <w:numId w:val="3"/>
        </w:numPr>
        <w:pBdr>
          <w:top w:val="nil"/>
          <w:left w:val="nil"/>
          <w:bottom w:val="nil"/>
          <w:right w:val="nil"/>
          <w:between w:val="nil"/>
        </w:pBdr>
        <w:tabs>
          <w:tab w:val="left" w:pos="4"/>
          <w:tab w:val="left" w:pos="432"/>
        </w:tabs>
        <w:spacing w:after="120" w:line="360" w:lineRule="auto"/>
        <w:rPr>
          <w:rFonts w:ascii="Arial" w:eastAsia="Arial" w:hAnsi="Arial" w:cs="Arial"/>
          <w:color w:val="010000"/>
          <w:sz w:val="20"/>
          <w:szCs w:val="20"/>
        </w:rPr>
      </w:pPr>
      <w:r w:rsidRPr="0016059D">
        <w:rPr>
          <w:rFonts w:ascii="Arial" w:hAnsi="Arial" w:cs="Arial"/>
          <w:color w:val="010000"/>
          <w:sz w:val="20"/>
        </w:rPr>
        <w:t>Reward the Board of Directors, the Executive Board and the Supervisory Board with a bonus of 5% on profits exceeding the plan in 2024.</w:t>
      </w:r>
    </w:p>
    <w:p w14:paraId="78C3C972" w14:textId="77777777" w:rsidR="00EE1D90" w:rsidRPr="0016059D" w:rsidRDefault="0016059D" w:rsidP="00160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059D">
        <w:rPr>
          <w:rFonts w:ascii="Arial" w:hAnsi="Arial" w:cs="Arial"/>
          <w:color w:val="010000"/>
          <w:sz w:val="20"/>
        </w:rPr>
        <w:t>Article 11. Approve the Proposal on issuance of shares under the Company's ESOP.</w:t>
      </w:r>
    </w:p>
    <w:p w14:paraId="0A140770" w14:textId="77777777" w:rsidR="00EE1D90" w:rsidRPr="0016059D" w:rsidRDefault="0016059D" w:rsidP="0016059D">
      <w:pPr>
        <w:numPr>
          <w:ilvl w:val="0"/>
          <w:numId w:val="4"/>
        </w:numPr>
        <w:pBdr>
          <w:top w:val="nil"/>
          <w:left w:val="nil"/>
          <w:bottom w:val="nil"/>
          <w:right w:val="nil"/>
          <w:between w:val="nil"/>
        </w:pBdr>
        <w:tabs>
          <w:tab w:val="left" w:pos="432"/>
          <w:tab w:val="left" w:pos="560"/>
        </w:tabs>
        <w:spacing w:after="120" w:line="360" w:lineRule="auto"/>
        <w:rPr>
          <w:rFonts w:ascii="Arial" w:eastAsia="Arial" w:hAnsi="Arial" w:cs="Arial"/>
          <w:color w:val="010000"/>
          <w:sz w:val="20"/>
          <w:szCs w:val="20"/>
        </w:rPr>
      </w:pPr>
      <w:r w:rsidRPr="0016059D">
        <w:rPr>
          <w:rFonts w:ascii="Arial" w:hAnsi="Arial" w:cs="Arial"/>
          <w:color w:val="010000"/>
          <w:sz w:val="20"/>
        </w:rPr>
        <w:t>Purpose of issuing shares:</w:t>
      </w:r>
    </w:p>
    <w:p w14:paraId="3D6E1241" w14:textId="77777777" w:rsidR="00EE1D90" w:rsidRPr="0016059D" w:rsidRDefault="0016059D" w:rsidP="0016059D">
      <w:pPr>
        <w:numPr>
          <w:ilvl w:val="0"/>
          <w:numId w:val="6"/>
        </w:numPr>
        <w:pBdr>
          <w:top w:val="nil"/>
          <w:left w:val="nil"/>
          <w:bottom w:val="nil"/>
          <w:right w:val="nil"/>
          <w:between w:val="nil"/>
        </w:pBdr>
        <w:tabs>
          <w:tab w:val="left" w:pos="432"/>
          <w:tab w:val="left" w:pos="563"/>
        </w:tabs>
        <w:spacing w:after="120" w:line="360" w:lineRule="auto"/>
        <w:rPr>
          <w:rFonts w:ascii="Arial" w:eastAsia="Arial" w:hAnsi="Arial" w:cs="Arial"/>
          <w:color w:val="010000"/>
          <w:sz w:val="20"/>
          <w:szCs w:val="20"/>
        </w:rPr>
      </w:pPr>
      <w:r w:rsidRPr="0016059D">
        <w:rPr>
          <w:rFonts w:ascii="Arial" w:hAnsi="Arial" w:cs="Arial"/>
          <w:color w:val="010000"/>
          <w:sz w:val="20"/>
        </w:rPr>
        <w:t>Aligning the interests of employees and the Company, serving as the foundation for the strong and sustainable development of the Company.</w:t>
      </w:r>
    </w:p>
    <w:p w14:paraId="42BF14CA" w14:textId="77777777" w:rsidR="00EE1D90" w:rsidRPr="0016059D" w:rsidRDefault="0016059D" w:rsidP="0016059D">
      <w:pPr>
        <w:numPr>
          <w:ilvl w:val="0"/>
          <w:numId w:val="6"/>
        </w:numPr>
        <w:pBdr>
          <w:top w:val="nil"/>
          <w:left w:val="nil"/>
          <w:bottom w:val="nil"/>
          <w:right w:val="nil"/>
          <w:between w:val="nil"/>
        </w:pBdr>
        <w:tabs>
          <w:tab w:val="left" w:pos="432"/>
          <w:tab w:val="left" w:pos="563"/>
        </w:tabs>
        <w:spacing w:after="120" w:line="360" w:lineRule="auto"/>
        <w:rPr>
          <w:rFonts w:ascii="Arial" w:eastAsia="Arial" w:hAnsi="Arial" w:cs="Arial"/>
          <w:color w:val="010000"/>
          <w:sz w:val="20"/>
          <w:szCs w:val="20"/>
        </w:rPr>
      </w:pPr>
      <w:r w:rsidRPr="0016059D">
        <w:rPr>
          <w:rFonts w:ascii="Arial" w:hAnsi="Arial" w:cs="Arial"/>
          <w:color w:val="010000"/>
          <w:sz w:val="20"/>
        </w:rPr>
        <w:t>Increase charter capital to supplement owners' equity to serve the Company's production and business needs.</w:t>
      </w:r>
    </w:p>
    <w:p w14:paraId="378D66AB" w14:textId="77777777" w:rsidR="00EE1D90" w:rsidRPr="0016059D" w:rsidRDefault="0016059D" w:rsidP="0016059D">
      <w:pPr>
        <w:numPr>
          <w:ilvl w:val="0"/>
          <w:numId w:val="4"/>
        </w:numPr>
        <w:pBdr>
          <w:top w:val="nil"/>
          <w:left w:val="nil"/>
          <w:bottom w:val="nil"/>
          <w:right w:val="nil"/>
          <w:between w:val="nil"/>
        </w:pBdr>
        <w:tabs>
          <w:tab w:val="left" w:pos="432"/>
          <w:tab w:val="left" w:pos="560"/>
        </w:tabs>
        <w:spacing w:after="120" w:line="360" w:lineRule="auto"/>
        <w:rPr>
          <w:rFonts w:ascii="Arial" w:eastAsia="Arial" w:hAnsi="Arial" w:cs="Arial"/>
          <w:color w:val="010000"/>
          <w:sz w:val="20"/>
          <w:szCs w:val="20"/>
        </w:rPr>
      </w:pPr>
      <w:r w:rsidRPr="0016059D">
        <w:rPr>
          <w:rFonts w:ascii="Arial" w:hAnsi="Arial" w:cs="Arial"/>
          <w:color w:val="010000"/>
          <w:sz w:val="20"/>
        </w:rPr>
        <w:t>Offering plan:</w:t>
      </w:r>
    </w:p>
    <w:p w14:paraId="46A88D6E" w14:textId="77777777" w:rsidR="00EE1D90" w:rsidRPr="0016059D" w:rsidRDefault="0016059D" w:rsidP="0016059D">
      <w:pPr>
        <w:numPr>
          <w:ilvl w:val="1"/>
          <w:numId w:val="4"/>
        </w:numPr>
        <w:pBdr>
          <w:top w:val="nil"/>
          <w:left w:val="nil"/>
          <w:bottom w:val="nil"/>
          <w:right w:val="nil"/>
          <w:between w:val="nil"/>
        </w:pBdr>
        <w:tabs>
          <w:tab w:val="left" w:pos="432"/>
          <w:tab w:val="left" w:pos="603"/>
        </w:tabs>
        <w:spacing w:after="120" w:line="360" w:lineRule="auto"/>
        <w:rPr>
          <w:rFonts w:ascii="Arial" w:eastAsia="Arial" w:hAnsi="Arial" w:cs="Arial"/>
          <w:color w:val="010000"/>
          <w:sz w:val="20"/>
          <w:szCs w:val="20"/>
        </w:rPr>
      </w:pPr>
      <w:r w:rsidRPr="0016059D">
        <w:rPr>
          <w:rFonts w:ascii="Arial" w:hAnsi="Arial" w:cs="Arial"/>
          <w:color w:val="010000"/>
          <w:sz w:val="20"/>
        </w:rPr>
        <w:t>Share name: shares of Mekophar Chemical Pharmaceutical Joint Stock Company</w:t>
      </w:r>
    </w:p>
    <w:p w14:paraId="4B469099" w14:textId="77777777" w:rsidR="00EE1D90" w:rsidRPr="0016059D" w:rsidRDefault="0016059D" w:rsidP="0016059D">
      <w:pPr>
        <w:numPr>
          <w:ilvl w:val="1"/>
          <w:numId w:val="4"/>
        </w:numPr>
        <w:pBdr>
          <w:top w:val="nil"/>
          <w:left w:val="nil"/>
          <w:bottom w:val="nil"/>
          <w:right w:val="nil"/>
          <w:between w:val="nil"/>
        </w:pBdr>
        <w:tabs>
          <w:tab w:val="left" w:pos="432"/>
          <w:tab w:val="left" w:pos="607"/>
        </w:tabs>
        <w:spacing w:after="120" w:line="360" w:lineRule="auto"/>
        <w:rPr>
          <w:rFonts w:ascii="Arial" w:eastAsia="Arial" w:hAnsi="Arial" w:cs="Arial"/>
          <w:color w:val="010000"/>
          <w:sz w:val="20"/>
          <w:szCs w:val="20"/>
        </w:rPr>
      </w:pPr>
      <w:r w:rsidRPr="0016059D">
        <w:rPr>
          <w:rFonts w:ascii="Arial" w:hAnsi="Arial" w:cs="Arial"/>
          <w:color w:val="010000"/>
          <w:sz w:val="20"/>
        </w:rPr>
        <w:t>Share code: MKP</w:t>
      </w:r>
    </w:p>
    <w:p w14:paraId="6D261D0A" w14:textId="77777777" w:rsidR="00EE1D90" w:rsidRPr="0016059D" w:rsidRDefault="0016059D" w:rsidP="0016059D">
      <w:pPr>
        <w:numPr>
          <w:ilvl w:val="1"/>
          <w:numId w:val="4"/>
        </w:numPr>
        <w:pBdr>
          <w:top w:val="nil"/>
          <w:left w:val="nil"/>
          <w:bottom w:val="nil"/>
          <w:right w:val="nil"/>
          <w:between w:val="nil"/>
        </w:pBdr>
        <w:tabs>
          <w:tab w:val="left" w:pos="432"/>
          <w:tab w:val="left" w:pos="607"/>
        </w:tabs>
        <w:spacing w:after="120" w:line="360" w:lineRule="auto"/>
        <w:rPr>
          <w:rFonts w:ascii="Arial" w:eastAsia="Arial" w:hAnsi="Arial" w:cs="Arial"/>
          <w:color w:val="010000"/>
          <w:sz w:val="20"/>
          <w:szCs w:val="20"/>
        </w:rPr>
      </w:pPr>
      <w:r w:rsidRPr="0016059D">
        <w:rPr>
          <w:rFonts w:ascii="Arial" w:hAnsi="Arial" w:cs="Arial"/>
          <w:color w:val="010000"/>
          <w:sz w:val="20"/>
        </w:rPr>
        <w:t>Share type: Common shares</w:t>
      </w:r>
    </w:p>
    <w:p w14:paraId="6A34F234" w14:textId="77777777" w:rsidR="00EE1D90" w:rsidRPr="0016059D" w:rsidRDefault="0016059D" w:rsidP="0016059D">
      <w:pPr>
        <w:numPr>
          <w:ilvl w:val="1"/>
          <w:numId w:val="4"/>
        </w:numPr>
        <w:pBdr>
          <w:top w:val="nil"/>
          <w:left w:val="nil"/>
          <w:bottom w:val="nil"/>
          <w:right w:val="nil"/>
          <w:between w:val="nil"/>
        </w:pBdr>
        <w:tabs>
          <w:tab w:val="left" w:pos="432"/>
          <w:tab w:val="left" w:pos="607"/>
        </w:tabs>
        <w:spacing w:after="120" w:line="360" w:lineRule="auto"/>
        <w:rPr>
          <w:rFonts w:ascii="Arial" w:eastAsia="Arial" w:hAnsi="Arial" w:cs="Arial"/>
          <w:color w:val="010000"/>
          <w:sz w:val="20"/>
          <w:szCs w:val="20"/>
        </w:rPr>
      </w:pPr>
      <w:r w:rsidRPr="0016059D">
        <w:rPr>
          <w:rFonts w:ascii="Arial" w:hAnsi="Arial" w:cs="Arial"/>
          <w:color w:val="010000"/>
          <w:sz w:val="20"/>
        </w:rPr>
        <w:t>Number of issued shares: 25,545,867 shares</w:t>
      </w:r>
    </w:p>
    <w:p w14:paraId="0C3CB28D" w14:textId="77777777" w:rsidR="00EE1D90" w:rsidRPr="0016059D" w:rsidRDefault="0016059D" w:rsidP="0016059D">
      <w:pPr>
        <w:numPr>
          <w:ilvl w:val="1"/>
          <w:numId w:val="4"/>
        </w:numPr>
        <w:pBdr>
          <w:top w:val="nil"/>
          <w:left w:val="nil"/>
          <w:bottom w:val="nil"/>
          <w:right w:val="nil"/>
          <w:between w:val="nil"/>
        </w:pBdr>
        <w:tabs>
          <w:tab w:val="left" w:pos="432"/>
          <w:tab w:val="left" w:pos="607"/>
        </w:tabs>
        <w:spacing w:after="120" w:line="360" w:lineRule="auto"/>
        <w:rPr>
          <w:rFonts w:ascii="Arial" w:eastAsia="Arial" w:hAnsi="Arial" w:cs="Arial"/>
          <w:color w:val="010000"/>
          <w:sz w:val="20"/>
          <w:szCs w:val="20"/>
        </w:rPr>
      </w:pPr>
      <w:r w:rsidRPr="0016059D">
        <w:rPr>
          <w:rFonts w:ascii="Arial" w:hAnsi="Arial" w:cs="Arial"/>
          <w:color w:val="010000"/>
          <w:sz w:val="20"/>
        </w:rPr>
        <w:t>Number of outstanding shares: 25,268,221 shares</w:t>
      </w:r>
    </w:p>
    <w:p w14:paraId="0F9A6FCA" w14:textId="77777777" w:rsidR="00EE1D90" w:rsidRPr="0016059D" w:rsidRDefault="0016059D" w:rsidP="0016059D">
      <w:pPr>
        <w:numPr>
          <w:ilvl w:val="1"/>
          <w:numId w:val="4"/>
        </w:numPr>
        <w:pBdr>
          <w:top w:val="nil"/>
          <w:left w:val="nil"/>
          <w:bottom w:val="nil"/>
          <w:right w:val="nil"/>
          <w:between w:val="nil"/>
        </w:pBdr>
        <w:tabs>
          <w:tab w:val="left" w:pos="432"/>
          <w:tab w:val="left" w:pos="607"/>
        </w:tabs>
        <w:spacing w:after="120" w:line="360" w:lineRule="auto"/>
        <w:rPr>
          <w:rFonts w:ascii="Arial" w:eastAsia="Arial" w:hAnsi="Arial" w:cs="Arial"/>
          <w:color w:val="010000"/>
          <w:sz w:val="20"/>
          <w:szCs w:val="20"/>
        </w:rPr>
      </w:pPr>
      <w:r w:rsidRPr="0016059D">
        <w:rPr>
          <w:rFonts w:ascii="Arial" w:hAnsi="Arial" w:cs="Arial"/>
          <w:color w:val="010000"/>
          <w:sz w:val="20"/>
        </w:rPr>
        <w:t>Number of treasury shares (as of December 31, 2023): 277,646 shares.</w:t>
      </w:r>
    </w:p>
    <w:p w14:paraId="32BF6470" w14:textId="77777777" w:rsidR="00EE1D90" w:rsidRPr="0016059D" w:rsidRDefault="0016059D" w:rsidP="0016059D">
      <w:pPr>
        <w:numPr>
          <w:ilvl w:val="1"/>
          <w:numId w:val="4"/>
        </w:numPr>
        <w:pBdr>
          <w:top w:val="nil"/>
          <w:left w:val="nil"/>
          <w:bottom w:val="nil"/>
          <w:right w:val="nil"/>
          <w:between w:val="nil"/>
        </w:pBdr>
        <w:tabs>
          <w:tab w:val="left" w:pos="432"/>
          <w:tab w:val="left" w:pos="607"/>
        </w:tabs>
        <w:spacing w:after="120" w:line="360" w:lineRule="auto"/>
        <w:rPr>
          <w:rFonts w:ascii="Arial" w:eastAsia="Arial" w:hAnsi="Arial" w:cs="Arial"/>
          <w:color w:val="010000"/>
          <w:sz w:val="20"/>
          <w:szCs w:val="20"/>
        </w:rPr>
      </w:pPr>
      <w:r w:rsidRPr="0016059D">
        <w:rPr>
          <w:rFonts w:ascii="Arial" w:hAnsi="Arial" w:cs="Arial"/>
          <w:color w:val="010000"/>
          <w:sz w:val="20"/>
        </w:rPr>
        <w:t>Number of shares expected to be issued: 1,230,000 shares</w:t>
      </w:r>
    </w:p>
    <w:p w14:paraId="737CDE2C" w14:textId="77777777" w:rsidR="00EE1D90" w:rsidRPr="0016059D" w:rsidRDefault="0016059D" w:rsidP="0016059D">
      <w:pPr>
        <w:numPr>
          <w:ilvl w:val="1"/>
          <w:numId w:val="4"/>
        </w:numPr>
        <w:pBdr>
          <w:top w:val="nil"/>
          <w:left w:val="nil"/>
          <w:bottom w:val="nil"/>
          <w:right w:val="nil"/>
          <w:between w:val="nil"/>
        </w:pBdr>
        <w:tabs>
          <w:tab w:val="left" w:pos="432"/>
          <w:tab w:val="left" w:pos="607"/>
        </w:tabs>
        <w:spacing w:after="120" w:line="360" w:lineRule="auto"/>
        <w:rPr>
          <w:rFonts w:ascii="Arial" w:eastAsia="Arial" w:hAnsi="Arial" w:cs="Arial"/>
          <w:color w:val="010000"/>
          <w:sz w:val="20"/>
          <w:szCs w:val="20"/>
        </w:rPr>
      </w:pPr>
      <w:r w:rsidRPr="0016059D">
        <w:rPr>
          <w:rFonts w:ascii="Arial" w:hAnsi="Arial" w:cs="Arial"/>
          <w:color w:val="010000"/>
          <w:sz w:val="20"/>
        </w:rPr>
        <w:t>Total issue value at par value: VND 12,300,000,000</w:t>
      </w:r>
    </w:p>
    <w:p w14:paraId="186434C0" w14:textId="77777777" w:rsidR="00EE1D90" w:rsidRPr="0016059D" w:rsidRDefault="0016059D" w:rsidP="0016059D">
      <w:pPr>
        <w:numPr>
          <w:ilvl w:val="1"/>
          <w:numId w:val="4"/>
        </w:numPr>
        <w:pBdr>
          <w:top w:val="nil"/>
          <w:left w:val="nil"/>
          <w:bottom w:val="nil"/>
          <w:right w:val="nil"/>
          <w:between w:val="nil"/>
        </w:pBdr>
        <w:tabs>
          <w:tab w:val="left" w:pos="432"/>
          <w:tab w:val="left" w:pos="603"/>
        </w:tabs>
        <w:spacing w:after="120" w:line="360" w:lineRule="auto"/>
        <w:rPr>
          <w:rFonts w:ascii="Arial" w:eastAsia="Arial" w:hAnsi="Arial" w:cs="Arial"/>
          <w:color w:val="010000"/>
          <w:sz w:val="20"/>
          <w:szCs w:val="20"/>
        </w:rPr>
      </w:pPr>
      <w:r w:rsidRPr="0016059D">
        <w:rPr>
          <w:rFonts w:ascii="Arial" w:hAnsi="Arial" w:cs="Arial"/>
          <w:color w:val="010000"/>
          <w:sz w:val="20"/>
        </w:rPr>
        <w:t>Issuance rate (number of shares expected to be issued/number of outstanding shares): 4.87%</w:t>
      </w:r>
    </w:p>
    <w:p w14:paraId="5748597A" w14:textId="77777777" w:rsidR="00EE1D90" w:rsidRPr="0016059D" w:rsidRDefault="0016059D" w:rsidP="0016059D">
      <w:pPr>
        <w:numPr>
          <w:ilvl w:val="1"/>
          <w:numId w:val="4"/>
        </w:numPr>
        <w:pBdr>
          <w:top w:val="nil"/>
          <w:left w:val="nil"/>
          <w:bottom w:val="nil"/>
          <w:right w:val="nil"/>
          <w:between w:val="nil"/>
        </w:pBdr>
        <w:tabs>
          <w:tab w:val="left" w:pos="432"/>
          <w:tab w:val="left" w:pos="603"/>
        </w:tabs>
        <w:spacing w:after="120" w:line="360" w:lineRule="auto"/>
        <w:rPr>
          <w:rFonts w:ascii="Arial" w:eastAsia="Arial" w:hAnsi="Arial" w:cs="Arial"/>
          <w:color w:val="010000"/>
          <w:sz w:val="20"/>
          <w:szCs w:val="20"/>
        </w:rPr>
      </w:pPr>
      <w:r w:rsidRPr="0016059D">
        <w:rPr>
          <w:rFonts w:ascii="Arial" w:hAnsi="Arial" w:cs="Arial"/>
          <w:color w:val="010000"/>
          <w:sz w:val="20"/>
        </w:rPr>
        <w:t>Offering price: VND 15,000/share</w:t>
      </w:r>
    </w:p>
    <w:p w14:paraId="0D9D9236" w14:textId="77777777" w:rsidR="00EE1D90" w:rsidRPr="0016059D" w:rsidRDefault="0016059D" w:rsidP="0016059D">
      <w:pPr>
        <w:numPr>
          <w:ilvl w:val="1"/>
          <w:numId w:val="4"/>
        </w:numPr>
        <w:pBdr>
          <w:top w:val="nil"/>
          <w:left w:val="nil"/>
          <w:bottom w:val="nil"/>
          <w:right w:val="nil"/>
          <w:between w:val="nil"/>
        </w:pBdr>
        <w:tabs>
          <w:tab w:val="left" w:pos="432"/>
          <w:tab w:val="left" w:pos="603"/>
        </w:tabs>
        <w:spacing w:after="120" w:line="360" w:lineRule="auto"/>
        <w:rPr>
          <w:rFonts w:ascii="Arial" w:eastAsia="Arial" w:hAnsi="Arial" w:cs="Arial"/>
          <w:color w:val="010000"/>
          <w:sz w:val="20"/>
          <w:szCs w:val="20"/>
        </w:rPr>
      </w:pPr>
      <w:r w:rsidRPr="0016059D">
        <w:rPr>
          <w:rFonts w:ascii="Arial" w:hAnsi="Arial" w:cs="Arial"/>
          <w:color w:val="010000"/>
          <w:sz w:val="20"/>
        </w:rPr>
        <w:lastRenderedPageBreak/>
        <w:t>Expected proceeds: VND 18,450,000,000</w:t>
      </w:r>
    </w:p>
    <w:p w14:paraId="70FEE2E1" w14:textId="77777777" w:rsidR="00EE1D90" w:rsidRPr="0016059D" w:rsidRDefault="0016059D" w:rsidP="0016059D">
      <w:pPr>
        <w:numPr>
          <w:ilvl w:val="1"/>
          <w:numId w:val="4"/>
        </w:numPr>
        <w:pBdr>
          <w:top w:val="nil"/>
          <w:left w:val="nil"/>
          <w:bottom w:val="nil"/>
          <w:right w:val="nil"/>
          <w:between w:val="nil"/>
        </w:pBdr>
        <w:tabs>
          <w:tab w:val="left" w:pos="432"/>
          <w:tab w:val="left" w:pos="603"/>
        </w:tabs>
        <w:spacing w:after="120" w:line="360" w:lineRule="auto"/>
        <w:rPr>
          <w:rFonts w:ascii="Arial" w:eastAsia="Arial" w:hAnsi="Arial" w:cs="Arial"/>
          <w:color w:val="010000"/>
          <w:sz w:val="20"/>
          <w:szCs w:val="20"/>
        </w:rPr>
      </w:pPr>
      <w:r w:rsidRPr="0016059D">
        <w:rPr>
          <w:rFonts w:ascii="Arial" w:hAnsi="Arial" w:cs="Arial"/>
          <w:color w:val="010000"/>
          <w:sz w:val="20"/>
        </w:rPr>
        <w:t>Time of issuance: Expected in Q3/2024</w:t>
      </w:r>
    </w:p>
    <w:p w14:paraId="7D52B397" w14:textId="77777777" w:rsidR="00EE1D90" w:rsidRPr="0016059D" w:rsidRDefault="0016059D" w:rsidP="0016059D">
      <w:pPr>
        <w:numPr>
          <w:ilvl w:val="1"/>
          <w:numId w:val="4"/>
        </w:numPr>
        <w:pBdr>
          <w:top w:val="nil"/>
          <w:left w:val="nil"/>
          <w:bottom w:val="nil"/>
          <w:right w:val="nil"/>
          <w:between w:val="nil"/>
        </w:pBdr>
        <w:tabs>
          <w:tab w:val="left" w:pos="432"/>
          <w:tab w:val="left" w:pos="603"/>
        </w:tabs>
        <w:spacing w:after="120" w:line="360" w:lineRule="auto"/>
        <w:rPr>
          <w:rFonts w:ascii="Arial" w:eastAsia="Arial" w:hAnsi="Arial" w:cs="Arial"/>
          <w:color w:val="010000"/>
          <w:sz w:val="20"/>
          <w:szCs w:val="20"/>
        </w:rPr>
      </w:pPr>
      <w:r w:rsidRPr="0016059D">
        <w:rPr>
          <w:rFonts w:ascii="Arial" w:hAnsi="Arial" w:cs="Arial"/>
          <w:color w:val="010000"/>
          <w:sz w:val="20"/>
        </w:rPr>
        <w:t>Objects and methods of offering: Distribute according to the ESOP.</w:t>
      </w:r>
    </w:p>
    <w:p w14:paraId="68C0B0BF" w14:textId="77777777" w:rsidR="00EE1D90" w:rsidRPr="0016059D" w:rsidRDefault="0016059D" w:rsidP="0016059D">
      <w:pPr>
        <w:numPr>
          <w:ilvl w:val="0"/>
          <w:numId w:val="6"/>
        </w:numPr>
        <w:pBdr>
          <w:top w:val="nil"/>
          <w:left w:val="nil"/>
          <w:bottom w:val="nil"/>
          <w:right w:val="nil"/>
          <w:between w:val="nil"/>
        </w:pBdr>
        <w:tabs>
          <w:tab w:val="left" w:pos="432"/>
          <w:tab w:val="left" w:pos="562"/>
        </w:tabs>
        <w:spacing w:after="120" w:line="360" w:lineRule="auto"/>
        <w:rPr>
          <w:rFonts w:ascii="Arial" w:eastAsia="Arial" w:hAnsi="Arial" w:cs="Arial"/>
          <w:color w:val="010000"/>
          <w:sz w:val="20"/>
          <w:szCs w:val="20"/>
        </w:rPr>
      </w:pPr>
      <w:r w:rsidRPr="0016059D">
        <w:rPr>
          <w:rFonts w:ascii="Arial" w:hAnsi="Arial" w:cs="Arial"/>
          <w:color w:val="010000"/>
          <w:sz w:val="20"/>
        </w:rPr>
        <w:t>Criteria: Competent, experienced employees with achievements and long-term dedication to the Company.</w:t>
      </w:r>
    </w:p>
    <w:p w14:paraId="43498A32" w14:textId="77777777" w:rsidR="00EE1D90" w:rsidRPr="0016059D" w:rsidRDefault="0016059D" w:rsidP="0016059D">
      <w:pPr>
        <w:numPr>
          <w:ilvl w:val="0"/>
          <w:numId w:val="6"/>
        </w:numPr>
        <w:pBdr>
          <w:top w:val="nil"/>
          <w:left w:val="nil"/>
          <w:bottom w:val="nil"/>
          <w:right w:val="nil"/>
          <w:between w:val="nil"/>
        </w:pBdr>
        <w:tabs>
          <w:tab w:val="left" w:pos="432"/>
          <w:tab w:val="left" w:pos="562"/>
        </w:tabs>
        <w:spacing w:after="120" w:line="360" w:lineRule="auto"/>
        <w:rPr>
          <w:rFonts w:ascii="Arial" w:eastAsia="Arial" w:hAnsi="Arial" w:cs="Arial"/>
          <w:color w:val="010000"/>
          <w:sz w:val="20"/>
          <w:szCs w:val="20"/>
        </w:rPr>
      </w:pPr>
      <w:r w:rsidRPr="0016059D">
        <w:rPr>
          <w:rFonts w:ascii="Arial" w:hAnsi="Arial" w:cs="Arial"/>
          <w:color w:val="010000"/>
          <w:sz w:val="20"/>
        </w:rPr>
        <w:t>The Board of Directors considers and decides based on the Company's Regulations on offering shares to Employees.</w:t>
      </w:r>
    </w:p>
    <w:p w14:paraId="77476ED6" w14:textId="77777777" w:rsidR="00EE1D90" w:rsidRPr="0016059D" w:rsidRDefault="0016059D" w:rsidP="0016059D">
      <w:pPr>
        <w:numPr>
          <w:ilvl w:val="1"/>
          <w:numId w:val="4"/>
        </w:numPr>
        <w:pBdr>
          <w:top w:val="nil"/>
          <w:left w:val="nil"/>
          <w:bottom w:val="nil"/>
          <w:right w:val="nil"/>
          <w:between w:val="nil"/>
        </w:pBdr>
        <w:tabs>
          <w:tab w:val="left" w:pos="432"/>
          <w:tab w:val="left" w:pos="603"/>
        </w:tabs>
        <w:spacing w:after="120" w:line="360" w:lineRule="auto"/>
        <w:rPr>
          <w:rFonts w:ascii="Arial" w:eastAsia="Arial" w:hAnsi="Arial" w:cs="Arial"/>
          <w:color w:val="010000"/>
          <w:sz w:val="20"/>
          <w:szCs w:val="20"/>
        </w:rPr>
      </w:pPr>
      <w:r w:rsidRPr="0016059D">
        <w:rPr>
          <w:rFonts w:ascii="Arial" w:hAnsi="Arial" w:cs="Arial"/>
          <w:color w:val="010000"/>
          <w:sz w:val="20"/>
        </w:rPr>
        <w:t>Transfer restrictions: Shares can only be transferred after 5 years from the date of completion of the offering. The reselling or repurchase of shares by employees who have purchased ESOP shares in violation of regulations on transfer restrictions will be carried out in accordance with the Issuance Regulations issued by the Board of Directors.</w:t>
      </w:r>
    </w:p>
    <w:p w14:paraId="0A73FD4F" w14:textId="77777777" w:rsidR="00EE1D90" w:rsidRPr="0016059D" w:rsidRDefault="0016059D" w:rsidP="0016059D">
      <w:pPr>
        <w:numPr>
          <w:ilvl w:val="1"/>
          <w:numId w:val="4"/>
        </w:numPr>
        <w:pBdr>
          <w:top w:val="nil"/>
          <w:left w:val="nil"/>
          <w:bottom w:val="nil"/>
          <w:right w:val="nil"/>
          <w:between w:val="nil"/>
        </w:pBdr>
        <w:tabs>
          <w:tab w:val="left" w:pos="432"/>
          <w:tab w:val="left" w:pos="603"/>
        </w:tabs>
        <w:spacing w:after="120" w:line="360" w:lineRule="auto"/>
        <w:rPr>
          <w:rFonts w:ascii="Arial" w:eastAsia="Arial" w:hAnsi="Arial" w:cs="Arial"/>
          <w:color w:val="010000"/>
          <w:sz w:val="20"/>
          <w:szCs w:val="20"/>
        </w:rPr>
      </w:pPr>
      <w:r w:rsidRPr="0016059D">
        <w:rPr>
          <w:rFonts w:ascii="Arial" w:hAnsi="Arial" w:cs="Arial"/>
          <w:color w:val="010000"/>
          <w:sz w:val="20"/>
        </w:rPr>
        <w:t>The number of shares that employees are approved to buy but refuse to buy will be considered by the Board of Directors for continued distribution to other employees.</w:t>
      </w:r>
    </w:p>
    <w:p w14:paraId="1EC97307" w14:textId="77777777" w:rsidR="00EE1D90" w:rsidRPr="0016059D" w:rsidRDefault="0016059D" w:rsidP="00160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059D">
        <w:rPr>
          <w:rFonts w:ascii="Arial" w:hAnsi="Arial" w:cs="Arial"/>
          <w:color w:val="010000"/>
          <w:sz w:val="20"/>
        </w:rPr>
        <w:t>Plan to use the proceeds from the offering: The capital obtained from the offering will be added by the Company to the Company's capital for production and business activities immediately after completing the reporting of the offering results to the State Securities Commission.</w:t>
      </w:r>
    </w:p>
    <w:p w14:paraId="314E9748" w14:textId="77777777" w:rsidR="00EE1D90" w:rsidRPr="0016059D" w:rsidRDefault="0016059D" w:rsidP="00160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059D">
        <w:rPr>
          <w:rFonts w:ascii="Arial" w:hAnsi="Arial" w:cs="Arial"/>
          <w:color w:val="010000"/>
          <w:sz w:val="20"/>
        </w:rPr>
        <w:t>Article 12. Approve the Proposal on dismissal of members of the Board of Directors and additional election to replace members of the Board of Directors for the remaining period of term V (2020-2024).</w:t>
      </w:r>
    </w:p>
    <w:p w14:paraId="55960313" w14:textId="77777777" w:rsidR="00EE1D90" w:rsidRPr="0016059D" w:rsidRDefault="0016059D" w:rsidP="00160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059D">
        <w:rPr>
          <w:rFonts w:ascii="Arial" w:hAnsi="Arial" w:cs="Arial"/>
          <w:color w:val="010000"/>
          <w:sz w:val="20"/>
        </w:rPr>
        <w:t>Article 13. Approve the Proposal on the List and resume of candidates, nominating personnel to elect additional members of the Board of Directors for the remaining period of term V (2020-2024).</w:t>
      </w:r>
    </w:p>
    <w:p w14:paraId="7700C2B2" w14:textId="77777777" w:rsidR="00EE1D90" w:rsidRPr="0016059D" w:rsidRDefault="0016059D" w:rsidP="00160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059D">
        <w:rPr>
          <w:rFonts w:ascii="Arial" w:hAnsi="Arial" w:cs="Arial"/>
          <w:color w:val="010000"/>
          <w:sz w:val="20"/>
        </w:rPr>
        <w:t>Article 14. Results of additional election to replace members of the Board of Directors term V (2020-2024) according to cumulative voting method: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6"/>
        <w:gridCol w:w="7491"/>
      </w:tblGrid>
      <w:tr w:rsidR="00EE1D90" w:rsidRPr="0016059D" w14:paraId="40622954" w14:textId="77777777" w:rsidTr="0016059D">
        <w:tc>
          <w:tcPr>
            <w:tcW w:w="846" w:type="pct"/>
            <w:shd w:val="clear" w:color="auto" w:fill="auto"/>
            <w:tcMar>
              <w:top w:w="0" w:type="dxa"/>
              <w:bottom w:w="0" w:type="dxa"/>
            </w:tcMar>
            <w:vAlign w:val="center"/>
          </w:tcPr>
          <w:p w14:paraId="733A1BD9" w14:textId="77777777" w:rsidR="00EE1D90" w:rsidRPr="0016059D" w:rsidRDefault="0016059D" w:rsidP="00160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059D">
              <w:rPr>
                <w:rFonts w:ascii="Arial" w:hAnsi="Arial" w:cs="Arial"/>
                <w:color w:val="010000"/>
                <w:sz w:val="20"/>
              </w:rPr>
              <w:t>No.</w:t>
            </w:r>
          </w:p>
        </w:tc>
        <w:tc>
          <w:tcPr>
            <w:tcW w:w="4154" w:type="pct"/>
            <w:shd w:val="clear" w:color="auto" w:fill="auto"/>
            <w:tcMar>
              <w:top w:w="0" w:type="dxa"/>
              <w:bottom w:w="0" w:type="dxa"/>
            </w:tcMar>
            <w:vAlign w:val="center"/>
          </w:tcPr>
          <w:p w14:paraId="174B5756" w14:textId="77777777" w:rsidR="00EE1D90" w:rsidRPr="0016059D" w:rsidRDefault="0016059D" w:rsidP="00160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059D">
              <w:rPr>
                <w:rFonts w:ascii="Arial" w:hAnsi="Arial" w:cs="Arial"/>
                <w:color w:val="010000"/>
                <w:sz w:val="20"/>
              </w:rPr>
              <w:t>Full name</w:t>
            </w:r>
          </w:p>
        </w:tc>
      </w:tr>
      <w:tr w:rsidR="00EE1D90" w:rsidRPr="0016059D" w14:paraId="7834DD7B" w14:textId="77777777" w:rsidTr="0016059D">
        <w:tc>
          <w:tcPr>
            <w:tcW w:w="846" w:type="pct"/>
            <w:shd w:val="clear" w:color="auto" w:fill="auto"/>
            <w:tcMar>
              <w:top w:w="0" w:type="dxa"/>
              <w:bottom w:w="0" w:type="dxa"/>
            </w:tcMar>
            <w:vAlign w:val="center"/>
          </w:tcPr>
          <w:p w14:paraId="10D84001" w14:textId="77777777" w:rsidR="00EE1D90" w:rsidRPr="0016059D" w:rsidRDefault="0016059D" w:rsidP="00160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059D">
              <w:rPr>
                <w:rFonts w:ascii="Arial" w:hAnsi="Arial" w:cs="Arial"/>
                <w:color w:val="010000"/>
                <w:sz w:val="20"/>
              </w:rPr>
              <w:t>01</w:t>
            </w:r>
          </w:p>
        </w:tc>
        <w:tc>
          <w:tcPr>
            <w:tcW w:w="4154" w:type="pct"/>
            <w:shd w:val="clear" w:color="auto" w:fill="auto"/>
            <w:tcMar>
              <w:top w:w="0" w:type="dxa"/>
              <w:bottom w:w="0" w:type="dxa"/>
            </w:tcMar>
            <w:vAlign w:val="center"/>
          </w:tcPr>
          <w:p w14:paraId="531C1A96" w14:textId="77777777" w:rsidR="00EE1D90" w:rsidRPr="0016059D" w:rsidRDefault="0016059D" w:rsidP="00160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059D">
              <w:rPr>
                <w:rFonts w:ascii="Arial" w:hAnsi="Arial" w:cs="Arial"/>
                <w:color w:val="010000"/>
                <w:sz w:val="20"/>
              </w:rPr>
              <w:t>Ms. Lu Thi Khanh Tran</w:t>
            </w:r>
          </w:p>
        </w:tc>
      </w:tr>
    </w:tbl>
    <w:p w14:paraId="6B19D6E6" w14:textId="14303ACE" w:rsidR="00EE1D90" w:rsidRPr="0016059D" w:rsidRDefault="0016059D" w:rsidP="0016059D">
      <w:pPr>
        <w:pBdr>
          <w:top w:val="nil"/>
          <w:left w:val="nil"/>
          <w:bottom w:val="nil"/>
          <w:right w:val="nil"/>
          <w:between w:val="nil"/>
        </w:pBdr>
        <w:tabs>
          <w:tab w:val="left" w:pos="432"/>
          <w:tab w:val="left" w:pos="9034"/>
          <w:tab w:val="left" w:pos="9190"/>
          <w:tab w:val="left" w:pos="9331"/>
        </w:tabs>
        <w:spacing w:after="120" w:line="360" w:lineRule="auto"/>
        <w:rPr>
          <w:rFonts w:ascii="Arial" w:eastAsia="Arial" w:hAnsi="Arial" w:cs="Arial"/>
          <w:color w:val="010000"/>
          <w:sz w:val="20"/>
          <w:szCs w:val="20"/>
        </w:rPr>
      </w:pPr>
      <w:r w:rsidRPr="0016059D">
        <w:rPr>
          <w:rFonts w:ascii="Arial" w:hAnsi="Arial" w:cs="Arial"/>
          <w:color w:val="010000"/>
          <w:sz w:val="20"/>
        </w:rPr>
        <w:t xml:space="preserve">Article 15. This General Mandate was approved by the General Meeting of Shareholders and takes effect from April 25, 2024. The General Meeting of Shareholders authorizes the Board of Directors to concretize plans and tasks to direct the implementation of the General Mandate. </w:t>
      </w:r>
    </w:p>
    <w:sectPr w:rsidR="00EE1D90" w:rsidRPr="0016059D" w:rsidSect="0016059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42507"/>
    <w:multiLevelType w:val="multilevel"/>
    <w:tmpl w:val="8830360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79C4092"/>
    <w:multiLevelType w:val="multilevel"/>
    <w:tmpl w:val="B69025A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1430457"/>
    <w:multiLevelType w:val="multilevel"/>
    <w:tmpl w:val="5D3C5AB4"/>
    <w:lvl w:ilvl="0">
      <w:start w:val="6"/>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1CF5D64"/>
    <w:multiLevelType w:val="multilevel"/>
    <w:tmpl w:val="F92251C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D350610"/>
    <w:multiLevelType w:val="multilevel"/>
    <w:tmpl w:val="64C67F5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6B04A9F"/>
    <w:multiLevelType w:val="multilevel"/>
    <w:tmpl w:val="EE3AE0D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621295F"/>
    <w:multiLevelType w:val="multilevel"/>
    <w:tmpl w:val="A0D8EF0C"/>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6"/>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90"/>
    <w:rsid w:val="0016059D"/>
    <w:rsid w:val="005669D8"/>
    <w:rsid w:val="00EE1D9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2116E"/>
  <w15:docId w15:val="{4B94C6F1-F15E-49B3-BFC5-EADF395F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Bodytext20">
    <w:name w:val="Body text (2)"/>
    <w:basedOn w:val="Normal"/>
    <w:link w:val="Bodytext2"/>
    <w:pPr>
      <w:spacing w:line="300" w:lineRule="auto"/>
    </w:pPr>
    <w:rPr>
      <w:rFonts w:ascii="Times New Roman" w:eastAsia="Times New Roman" w:hAnsi="Times New Roman" w:cs="Times New Roman"/>
      <w:sz w:val="22"/>
      <w:szCs w:val="22"/>
    </w:rPr>
  </w:style>
  <w:style w:type="paragraph" w:styleId="BodyText">
    <w:name w:val="Body Text"/>
    <w:basedOn w:val="Normal"/>
    <w:link w:val="BodyTextChar"/>
    <w:qFormat/>
    <w:pPr>
      <w:spacing w:line="283" w:lineRule="auto"/>
    </w:pPr>
    <w:rPr>
      <w:rFonts w:ascii="Times New Roman" w:eastAsia="Times New Roman" w:hAnsi="Times New Roman" w:cs="Times New Roman"/>
      <w:sz w:val="26"/>
      <w:szCs w:val="26"/>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2"/>
      <w:szCs w:val="32"/>
    </w:rPr>
  </w:style>
  <w:style w:type="paragraph" w:customStyle="1" w:styleId="Other0">
    <w:name w:val="Other"/>
    <w:basedOn w:val="Normal"/>
    <w:link w:val="Other"/>
    <w:pPr>
      <w:spacing w:line="283" w:lineRule="auto"/>
    </w:pP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3+uNohDKvuzaHKkpvPntVXvfaA==">CgMxLjA4AHIhMW9uV3UwUnNYLVpueHhERThSSFlISTRsSEEza3NnZG5P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2024-05-04T03:37:00Z</dcterms:created>
  <dcterms:modified xsi:type="dcterms:W3CDTF">2024-05-04T03:37:00Z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452588899ac1a03be746362527cf821c6bb7ccd4eafb37721d652f83a03679c1</vt:lpwstr>
  </property>
</Properties>
</file>