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D6594"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6A6E68">
        <w:rPr>
          <w:rFonts w:ascii="Arial" w:hAnsi="Arial" w:cs="Arial"/>
          <w:b/>
          <w:color w:val="010000"/>
          <w:sz w:val="20"/>
        </w:rPr>
        <w:t>MKV: Annual General Mandate 2024</w:t>
      </w:r>
    </w:p>
    <w:p w14:paraId="44DE8FFE"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 xml:space="preserve">On April 20, 2024, </w:t>
      </w:r>
      <w:proofErr w:type="spellStart"/>
      <w:r w:rsidRPr="006A6E68">
        <w:rPr>
          <w:rFonts w:ascii="Arial" w:hAnsi="Arial" w:cs="Arial"/>
          <w:color w:val="010000"/>
          <w:sz w:val="20"/>
        </w:rPr>
        <w:t>Cai</w:t>
      </w:r>
      <w:proofErr w:type="spellEnd"/>
      <w:r w:rsidRPr="006A6E68">
        <w:rPr>
          <w:rFonts w:ascii="Arial" w:hAnsi="Arial" w:cs="Arial"/>
          <w:color w:val="010000"/>
          <w:sz w:val="20"/>
        </w:rPr>
        <w:t xml:space="preserve"> Lay Veterinary Pharmaceutical JSC announced General Mandate No. 02/2024/NQ/DHDCD-MKV as follows:</w:t>
      </w:r>
    </w:p>
    <w:p w14:paraId="2946EA14"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Article 1: Approve the Report of the Board of Directors in 2023;</w:t>
      </w:r>
    </w:p>
    <w:p w14:paraId="208EBCD6" w14:textId="77777777" w:rsidR="00AC49AB" w:rsidRPr="006A6E68" w:rsidRDefault="00594EDE" w:rsidP="00E61AE8">
      <w:pPr>
        <w:numPr>
          <w:ilvl w:val="0"/>
          <w:numId w:val="3"/>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sidRPr="006A6E68">
        <w:rPr>
          <w:rFonts w:ascii="Arial" w:hAnsi="Arial" w:cs="Arial"/>
          <w:color w:val="010000"/>
          <w:sz w:val="20"/>
        </w:rPr>
        <w:t>Revenue and other income VND 121,632,459,817</w:t>
      </w:r>
    </w:p>
    <w:p w14:paraId="1EEF20BB" w14:textId="77777777" w:rsidR="00AC49AB" w:rsidRPr="006A6E68" w:rsidRDefault="00594EDE" w:rsidP="00E61AE8">
      <w:pPr>
        <w:numPr>
          <w:ilvl w:val="0"/>
          <w:numId w:val="3"/>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sidRPr="006A6E68">
        <w:rPr>
          <w:rFonts w:ascii="Arial" w:hAnsi="Arial" w:cs="Arial"/>
          <w:color w:val="010000"/>
          <w:sz w:val="20"/>
        </w:rPr>
        <w:t>Expenses: VND 113,880,611,147</w:t>
      </w:r>
    </w:p>
    <w:p w14:paraId="56C7683E" w14:textId="77777777" w:rsidR="00AC49AB" w:rsidRPr="006A6E68" w:rsidRDefault="00594EDE" w:rsidP="00E61AE8">
      <w:pPr>
        <w:numPr>
          <w:ilvl w:val="0"/>
          <w:numId w:val="3"/>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sidRPr="006A6E68">
        <w:rPr>
          <w:rFonts w:ascii="Arial" w:hAnsi="Arial" w:cs="Arial"/>
          <w:color w:val="010000"/>
          <w:sz w:val="20"/>
        </w:rPr>
        <w:t>Profit before tax: VND 7,751,848,670</w:t>
      </w:r>
    </w:p>
    <w:p w14:paraId="3AF70936" w14:textId="5892DDD9" w:rsidR="00AC49AB" w:rsidRPr="006A6E68" w:rsidRDefault="00594EDE" w:rsidP="00E61AE8">
      <w:pPr>
        <w:numPr>
          <w:ilvl w:val="0"/>
          <w:numId w:val="3"/>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sidRPr="006A6E68">
        <w:rPr>
          <w:rFonts w:ascii="Arial" w:hAnsi="Arial" w:cs="Arial"/>
          <w:color w:val="010000"/>
          <w:sz w:val="20"/>
        </w:rPr>
        <w:t>Corporate income tax</w:t>
      </w:r>
      <w:r w:rsidR="006A6E68" w:rsidRPr="006A6E68">
        <w:rPr>
          <w:rFonts w:ascii="Arial" w:hAnsi="Arial" w:cs="Arial"/>
          <w:color w:val="010000"/>
          <w:sz w:val="20"/>
        </w:rPr>
        <w:t xml:space="preserve">: </w:t>
      </w:r>
      <w:r w:rsidRPr="006A6E68">
        <w:rPr>
          <w:rFonts w:ascii="Arial" w:hAnsi="Arial" w:cs="Arial"/>
          <w:color w:val="010000"/>
          <w:sz w:val="20"/>
        </w:rPr>
        <w:t>VND 1,550,380,768</w:t>
      </w:r>
    </w:p>
    <w:p w14:paraId="32292BAB" w14:textId="77777777" w:rsidR="00AC49AB" w:rsidRPr="006A6E68" w:rsidRDefault="00594EDE" w:rsidP="00E61AE8">
      <w:pPr>
        <w:numPr>
          <w:ilvl w:val="0"/>
          <w:numId w:val="3"/>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sidRPr="006A6E68">
        <w:rPr>
          <w:rFonts w:ascii="Arial" w:hAnsi="Arial" w:cs="Arial"/>
          <w:color w:val="010000"/>
          <w:sz w:val="20"/>
        </w:rPr>
        <w:t>Profit after tax: VND 6,201,467,902</w:t>
      </w:r>
    </w:p>
    <w:p w14:paraId="707D0ACC"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Article 2: Approve the Report of the Supervisory Board in 2023</w:t>
      </w:r>
    </w:p>
    <w:p w14:paraId="08141F7C" w14:textId="77777777" w:rsidR="00AC49AB" w:rsidRPr="006A6E68" w:rsidRDefault="00594EDE" w:rsidP="00E61AE8">
      <w:pPr>
        <w:numPr>
          <w:ilvl w:val="0"/>
          <w:numId w:val="4"/>
        </w:numPr>
        <w:pBdr>
          <w:top w:val="nil"/>
          <w:left w:val="nil"/>
          <w:bottom w:val="nil"/>
          <w:right w:val="nil"/>
          <w:between w:val="nil"/>
        </w:pBdr>
        <w:tabs>
          <w:tab w:val="left" w:pos="432"/>
          <w:tab w:val="left" w:pos="1022"/>
        </w:tabs>
        <w:spacing w:after="120" w:line="360" w:lineRule="auto"/>
        <w:jc w:val="both"/>
        <w:rPr>
          <w:rFonts w:ascii="Arial" w:eastAsia="Arial" w:hAnsi="Arial" w:cs="Arial"/>
          <w:color w:val="010000"/>
          <w:sz w:val="20"/>
          <w:szCs w:val="20"/>
        </w:rPr>
      </w:pPr>
      <w:r w:rsidRPr="006A6E68">
        <w:rPr>
          <w:rFonts w:ascii="Arial" w:hAnsi="Arial" w:cs="Arial"/>
          <w:color w:val="010000"/>
          <w:sz w:val="20"/>
        </w:rPr>
        <w:t>The Operation Scale of the Company:</w:t>
      </w:r>
    </w:p>
    <w:p w14:paraId="070896C4" w14:textId="1555A67A"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 xml:space="preserve">The total enterprise value of the Company as of December 31, 2023 is: VND 98,325,982,520 (down VND 7,717,726,003 compared to that at </w:t>
      </w:r>
      <w:r w:rsidR="006A6E68" w:rsidRPr="006A6E68">
        <w:rPr>
          <w:rFonts w:ascii="Arial" w:hAnsi="Arial" w:cs="Arial"/>
          <w:color w:val="010000"/>
          <w:sz w:val="20"/>
        </w:rPr>
        <w:t xml:space="preserve">the </w:t>
      </w:r>
      <w:r w:rsidRPr="006A6E68">
        <w:rPr>
          <w:rFonts w:ascii="Arial" w:hAnsi="Arial" w:cs="Arial"/>
          <w:color w:val="010000"/>
          <w:sz w:val="20"/>
        </w:rPr>
        <w:t>beginning of the year). In details: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0"/>
        <w:gridCol w:w="4247"/>
        <w:gridCol w:w="2049"/>
        <w:gridCol w:w="2041"/>
      </w:tblGrid>
      <w:tr w:rsidR="00AC49AB" w:rsidRPr="006A6E68" w14:paraId="5C0405C9" w14:textId="77777777" w:rsidTr="006A6E68">
        <w:tc>
          <w:tcPr>
            <w:tcW w:w="377" w:type="pct"/>
            <w:shd w:val="clear" w:color="auto" w:fill="auto"/>
            <w:tcMar>
              <w:top w:w="0" w:type="dxa"/>
              <w:bottom w:w="0" w:type="dxa"/>
            </w:tcMar>
            <w:vAlign w:val="center"/>
          </w:tcPr>
          <w:p w14:paraId="6F8C91F3"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No.</w:t>
            </w:r>
          </w:p>
        </w:tc>
        <w:tc>
          <w:tcPr>
            <w:tcW w:w="2355" w:type="pct"/>
            <w:shd w:val="clear" w:color="auto" w:fill="auto"/>
            <w:tcMar>
              <w:top w:w="0" w:type="dxa"/>
              <w:bottom w:w="0" w:type="dxa"/>
            </w:tcMar>
            <w:vAlign w:val="center"/>
          </w:tcPr>
          <w:p w14:paraId="7EC812AE"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Target</w:t>
            </w:r>
          </w:p>
        </w:tc>
        <w:tc>
          <w:tcPr>
            <w:tcW w:w="1136" w:type="pct"/>
            <w:shd w:val="clear" w:color="auto" w:fill="auto"/>
            <w:tcMar>
              <w:top w:w="0" w:type="dxa"/>
              <w:bottom w:w="0" w:type="dxa"/>
            </w:tcMar>
            <w:vAlign w:val="center"/>
          </w:tcPr>
          <w:p w14:paraId="5C81A3B5"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Beginning of 2023 (January 1, 2023)</w:t>
            </w:r>
          </w:p>
        </w:tc>
        <w:tc>
          <w:tcPr>
            <w:tcW w:w="1132" w:type="pct"/>
            <w:shd w:val="clear" w:color="auto" w:fill="auto"/>
            <w:tcMar>
              <w:top w:w="0" w:type="dxa"/>
              <w:bottom w:w="0" w:type="dxa"/>
            </w:tcMar>
            <w:vAlign w:val="center"/>
          </w:tcPr>
          <w:p w14:paraId="74723263"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End of 2023 (December 31, 2023)</w:t>
            </w:r>
          </w:p>
        </w:tc>
      </w:tr>
      <w:tr w:rsidR="00AC49AB" w:rsidRPr="006A6E68" w14:paraId="48A0F989" w14:textId="77777777" w:rsidTr="006A6E68">
        <w:tc>
          <w:tcPr>
            <w:tcW w:w="377" w:type="pct"/>
            <w:shd w:val="clear" w:color="auto" w:fill="auto"/>
            <w:tcMar>
              <w:top w:w="0" w:type="dxa"/>
              <w:bottom w:w="0" w:type="dxa"/>
            </w:tcMar>
            <w:vAlign w:val="center"/>
          </w:tcPr>
          <w:p w14:paraId="215ED9BF"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1</w:t>
            </w:r>
          </w:p>
        </w:tc>
        <w:tc>
          <w:tcPr>
            <w:tcW w:w="2355" w:type="pct"/>
            <w:shd w:val="clear" w:color="auto" w:fill="auto"/>
            <w:tcMar>
              <w:top w:w="0" w:type="dxa"/>
              <w:bottom w:w="0" w:type="dxa"/>
            </w:tcMar>
            <w:vAlign w:val="center"/>
          </w:tcPr>
          <w:p w14:paraId="4ED4332D"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Cash and cash equivalents</w:t>
            </w:r>
          </w:p>
        </w:tc>
        <w:tc>
          <w:tcPr>
            <w:tcW w:w="1136" w:type="pct"/>
            <w:shd w:val="clear" w:color="auto" w:fill="auto"/>
            <w:tcMar>
              <w:top w:w="0" w:type="dxa"/>
              <w:bottom w:w="0" w:type="dxa"/>
            </w:tcMar>
            <w:vAlign w:val="center"/>
          </w:tcPr>
          <w:p w14:paraId="3DBC276E"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4,177,245,011</w:t>
            </w:r>
          </w:p>
        </w:tc>
        <w:tc>
          <w:tcPr>
            <w:tcW w:w="1132" w:type="pct"/>
            <w:shd w:val="clear" w:color="auto" w:fill="auto"/>
            <w:tcMar>
              <w:top w:w="0" w:type="dxa"/>
              <w:bottom w:w="0" w:type="dxa"/>
            </w:tcMar>
            <w:vAlign w:val="center"/>
          </w:tcPr>
          <w:p w14:paraId="764177E1"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9,191,736,471</w:t>
            </w:r>
          </w:p>
        </w:tc>
      </w:tr>
      <w:tr w:rsidR="00AC49AB" w:rsidRPr="006A6E68" w14:paraId="075BB142" w14:textId="77777777" w:rsidTr="006A6E68">
        <w:tc>
          <w:tcPr>
            <w:tcW w:w="377" w:type="pct"/>
            <w:shd w:val="clear" w:color="auto" w:fill="auto"/>
            <w:tcMar>
              <w:top w:w="0" w:type="dxa"/>
              <w:bottom w:w="0" w:type="dxa"/>
            </w:tcMar>
            <w:vAlign w:val="center"/>
          </w:tcPr>
          <w:p w14:paraId="6291CDEA"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bCs/>
                <w:color w:val="010000"/>
                <w:sz w:val="20"/>
              </w:rPr>
              <w:t>2</w:t>
            </w:r>
          </w:p>
        </w:tc>
        <w:tc>
          <w:tcPr>
            <w:tcW w:w="2355" w:type="pct"/>
            <w:shd w:val="clear" w:color="auto" w:fill="auto"/>
            <w:tcMar>
              <w:top w:w="0" w:type="dxa"/>
              <w:bottom w:w="0" w:type="dxa"/>
            </w:tcMar>
            <w:vAlign w:val="center"/>
          </w:tcPr>
          <w:p w14:paraId="0E957F59"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Short-term financial investment</w:t>
            </w:r>
          </w:p>
        </w:tc>
        <w:tc>
          <w:tcPr>
            <w:tcW w:w="1136" w:type="pct"/>
            <w:shd w:val="clear" w:color="auto" w:fill="auto"/>
            <w:tcMar>
              <w:top w:w="0" w:type="dxa"/>
              <w:bottom w:w="0" w:type="dxa"/>
            </w:tcMar>
            <w:vAlign w:val="center"/>
          </w:tcPr>
          <w:p w14:paraId="18433E0B"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6,000,000,000</w:t>
            </w:r>
          </w:p>
        </w:tc>
        <w:tc>
          <w:tcPr>
            <w:tcW w:w="1132" w:type="pct"/>
            <w:shd w:val="clear" w:color="auto" w:fill="auto"/>
            <w:tcMar>
              <w:top w:w="0" w:type="dxa"/>
              <w:bottom w:w="0" w:type="dxa"/>
            </w:tcMar>
            <w:vAlign w:val="center"/>
          </w:tcPr>
          <w:p w14:paraId="66AFF520"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6,000,000,000</w:t>
            </w:r>
          </w:p>
        </w:tc>
      </w:tr>
      <w:tr w:rsidR="00AC49AB" w:rsidRPr="006A6E68" w14:paraId="10DC17B4" w14:textId="77777777" w:rsidTr="006A6E68">
        <w:tc>
          <w:tcPr>
            <w:tcW w:w="377" w:type="pct"/>
            <w:shd w:val="clear" w:color="auto" w:fill="auto"/>
            <w:tcMar>
              <w:top w:w="0" w:type="dxa"/>
              <w:bottom w:w="0" w:type="dxa"/>
            </w:tcMar>
            <w:vAlign w:val="center"/>
          </w:tcPr>
          <w:p w14:paraId="63ABE247"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3</w:t>
            </w:r>
          </w:p>
        </w:tc>
        <w:tc>
          <w:tcPr>
            <w:tcW w:w="2355" w:type="pct"/>
            <w:shd w:val="clear" w:color="auto" w:fill="auto"/>
            <w:tcMar>
              <w:top w:w="0" w:type="dxa"/>
              <w:bottom w:w="0" w:type="dxa"/>
            </w:tcMar>
            <w:vAlign w:val="center"/>
          </w:tcPr>
          <w:p w14:paraId="5414AB90"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Short-term receivables</w:t>
            </w:r>
          </w:p>
        </w:tc>
        <w:tc>
          <w:tcPr>
            <w:tcW w:w="1136" w:type="pct"/>
            <w:shd w:val="clear" w:color="auto" w:fill="auto"/>
            <w:tcMar>
              <w:top w:w="0" w:type="dxa"/>
              <w:bottom w:w="0" w:type="dxa"/>
            </w:tcMar>
            <w:vAlign w:val="center"/>
          </w:tcPr>
          <w:p w14:paraId="38069120"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25,093,746,293</w:t>
            </w:r>
          </w:p>
        </w:tc>
        <w:tc>
          <w:tcPr>
            <w:tcW w:w="1132" w:type="pct"/>
            <w:shd w:val="clear" w:color="auto" w:fill="auto"/>
            <w:tcMar>
              <w:top w:w="0" w:type="dxa"/>
              <w:bottom w:w="0" w:type="dxa"/>
            </w:tcMar>
            <w:vAlign w:val="center"/>
          </w:tcPr>
          <w:p w14:paraId="6EFA3BFC"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33,106,484,040</w:t>
            </w:r>
          </w:p>
        </w:tc>
      </w:tr>
      <w:tr w:rsidR="00AC49AB" w:rsidRPr="006A6E68" w14:paraId="62094644" w14:textId="77777777" w:rsidTr="006A6E68">
        <w:tc>
          <w:tcPr>
            <w:tcW w:w="377" w:type="pct"/>
            <w:shd w:val="clear" w:color="auto" w:fill="auto"/>
            <w:tcMar>
              <w:top w:w="0" w:type="dxa"/>
              <w:bottom w:w="0" w:type="dxa"/>
            </w:tcMar>
            <w:vAlign w:val="center"/>
          </w:tcPr>
          <w:p w14:paraId="66861042"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4</w:t>
            </w:r>
          </w:p>
        </w:tc>
        <w:tc>
          <w:tcPr>
            <w:tcW w:w="2355" w:type="pct"/>
            <w:shd w:val="clear" w:color="auto" w:fill="auto"/>
            <w:tcMar>
              <w:top w:w="0" w:type="dxa"/>
              <w:bottom w:w="0" w:type="dxa"/>
            </w:tcMar>
            <w:vAlign w:val="center"/>
          </w:tcPr>
          <w:p w14:paraId="402A92D6"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Inventory</w:t>
            </w:r>
          </w:p>
        </w:tc>
        <w:tc>
          <w:tcPr>
            <w:tcW w:w="1136" w:type="pct"/>
            <w:shd w:val="clear" w:color="auto" w:fill="auto"/>
            <w:tcMar>
              <w:top w:w="0" w:type="dxa"/>
              <w:bottom w:w="0" w:type="dxa"/>
            </w:tcMar>
            <w:vAlign w:val="center"/>
          </w:tcPr>
          <w:p w14:paraId="3C4FF3EF"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28,663,187,241</w:t>
            </w:r>
          </w:p>
        </w:tc>
        <w:tc>
          <w:tcPr>
            <w:tcW w:w="1132" w:type="pct"/>
            <w:shd w:val="clear" w:color="auto" w:fill="auto"/>
            <w:tcMar>
              <w:top w:w="0" w:type="dxa"/>
              <w:bottom w:w="0" w:type="dxa"/>
            </w:tcMar>
            <w:vAlign w:val="center"/>
          </w:tcPr>
          <w:p w14:paraId="624DE9A5"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12,989,882,445</w:t>
            </w:r>
          </w:p>
        </w:tc>
      </w:tr>
      <w:tr w:rsidR="00AC49AB" w:rsidRPr="006A6E68" w14:paraId="2D6F7166" w14:textId="77777777" w:rsidTr="006A6E68">
        <w:tc>
          <w:tcPr>
            <w:tcW w:w="377" w:type="pct"/>
            <w:shd w:val="clear" w:color="auto" w:fill="auto"/>
            <w:tcMar>
              <w:top w:w="0" w:type="dxa"/>
              <w:bottom w:w="0" w:type="dxa"/>
            </w:tcMar>
            <w:vAlign w:val="center"/>
          </w:tcPr>
          <w:p w14:paraId="18D98B0D" w14:textId="63A50E1D"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5</w:t>
            </w:r>
          </w:p>
        </w:tc>
        <w:tc>
          <w:tcPr>
            <w:tcW w:w="2355" w:type="pct"/>
            <w:shd w:val="clear" w:color="auto" w:fill="auto"/>
            <w:tcMar>
              <w:top w:w="0" w:type="dxa"/>
              <w:bottom w:w="0" w:type="dxa"/>
            </w:tcMar>
            <w:vAlign w:val="center"/>
          </w:tcPr>
          <w:p w14:paraId="6CB83E39"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Other short-term assets</w:t>
            </w:r>
          </w:p>
        </w:tc>
        <w:tc>
          <w:tcPr>
            <w:tcW w:w="1136" w:type="pct"/>
            <w:shd w:val="clear" w:color="auto" w:fill="auto"/>
            <w:tcMar>
              <w:top w:w="0" w:type="dxa"/>
              <w:bottom w:w="0" w:type="dxa"/>
            </w:tcMar>
            <w:vAlign w:val="center"/>
          </w:tcPr>
          <w:p w14:paraId="7337FC00"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977,738,783</w:t>
            </w:r>
          </w:p>
        </w:tc>
        <w:tc>
          <w:tcPr>
            <w:tcW w:w="1132" w:type="pct"/>
            <w:shd w:val="clear" w:color="auto" w:fill="auto"/>
            <w:tcMar>
              <w:top w:w="0" w:type="dxa"/>
              <w:bottom w:w="0" w:type="dxa"/>
            </w:tcMar>
            <w:vAlign w:val="center"/>
          </w:tcPr>
          <w:p w14:paraId="45CB9066"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654,756,610</w:t>
            </w:r>
          </w:p>
        </w:tc>
      </w:tr>
      <w:tr w:rsidR="00AC49AB" w:rsidRPr="006A6E68" w14:paraId="5A9244F4" w14:textId="77777777" w:rsidTr="006A6E68">
        <w:tc>
          <w:tcPr>
            <w:tcW w:w="377" w:type="pct"/>
            <w:shd w:val="clear" w:color="auto" w:fill="auto"/>
            <w:tcMar>
              <w:top w:w="0" w:type="dxa"/>
              <w:bottom w:w="0" w:type="dxa"/>
            </w:tcMar>
            <w:vAlign w:val="center"/>
          </w:tcPr>
          <w:p w14:paraId="275E0F74"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6</w:t>
            </w:r>
          </w:p>
        </w:tc>
        <w:tc>
          <w:tcPr>
            <w:tcW w:w="2355" w:type="pct"/>
            <w:shd w:val="clear" w:color="auto" w:fill="auto"/>
            <w:tcMar>
              <w:top w:w="0" w:type="dxa"/>
              <w:bottom w:w="0" w:type="dxa"/>
            </w:tcMar>
            <w:vAlign w:val="center"/>
          </w:tcPr>
          <w:p w14:paraId="5E838DDC"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Long-term receivables</w:t>
            </w:r>
          </w:p>
        </w:tc>
        <w:tc>
          <w:tcPr>
            <w:tcW w:w="1136" w:type="pct"/>
            <w:shd w:val="clear" w:color="auto" w:fill="auto"/>
            <w:tcMar>
              <w:top w:w="0" w:type="dxa"/>
              <w:bottom w:w="0" w:type="dxa"/>
            </w:tcMar>
            <w:vAlign w:val="center"/>
          </w:tcPr>
          <w:p w14:paraId="77E61E04"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0</w:t>
            </w:r>
          </w:p>
        </w:tc>
        <w:tc>
          <w:tcPr>
            <w:tcW w:w="1132" w:type="pct"/>
            <w:shd w:val="clear" w:color="auto" w:fill="auto"/>
            <w:tcMar>
              <w:top w:w="0" w:type="dxa"/>
              <w:bottom w:w="0" w:type="dxa"/>
            </w:tcMar>
            <w:vAlign w:val="center"/>
          </w:tcPr>
          <w:p w14:paraId="521A6B46"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0</w:t>
            </w:r>
          </w:p>
        </w:tc>
      </w:tr>
      <w:tr w:rsidR="00AC49AB" w:rsidRPr="006A6E68" w14:paraId="6CC4188B" w14:textId="77777777" w:rsidTr="006A6E68">
        <w:tc>
          <w:tcPr>
            <w:tcW w:w="377" w:type="pct"/>
            <w:shd w:val="clear" w:color="auto" w:fill="auto"/>
            <w:tcMar>
              <w:top w:w="0" w:type="dxa"/>
              <w:bottom w:w="0" w:type="dxa"/>
            </w:tcMar>
            <w:vAlign w:val="center"/>
          </w:tcPr>
          <w:p w14:paraId="386C2D64"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7</w:t>
            </w:r>
            <w:r w:rsidRPr="006A6E68">
              <w:rPr>
                <w:rFonts w:ascii="Arial" w:hAnsi="Arial" w:cs="Arial"/>
                <w:bCs/>
                <w:color w:val="010000"/>
                <w:sz w:val="20"/>
              </w:rPr>
              <w:t xml:space="preserve"> </w:t>
            </w:r>
          </w:p>
        </w:tc>
        <w:tc>
          <w:tcPr>
            <w:tcW w:w="2355" w:type="pct"/>
            <w:shd w:val="clear" w:color="auto" w:fill="auto"/>
            <w:tcMar>
              <w:top w:w="0" w:type="dxa"/>
              <w:bottom w:w="0" w:type="dxa"/>
            </w:tcMar>
            <w:vAlign w:val="center"/>
          </w:tcPr>
          <w:p w14:paraId="29162C9F"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Fixed assets</w:t>
            </w:r>
          </w:p>
        </w:tc>
        <w:tc>
          <w:tcPr>
            <w:tcW w:w="1136" w:type="pct"/>
            <w:shd w:val="clear" w:color="auto" w:fill="auto"/>
            <w:tcMar>
              <w:top w:w="0" w:type="dxa"/>
              <w:bottom w:w="0" w:type="dxa"/>
            </w:tcMar>
            <w:vAlign w:val="center"/>
          </w:tcPr>
          <w:p w14:paraId="52BA9AB0"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40,312,089,646</w:t>
            </w:r>
          </w:p>
        </w:tc>
        <w:tc>
          <w:tcPr>
            <w:tcW w:w="1132" w:type="pct"/>
            <w:shd w:val="clear" w:color="auto" w:fill="auto"/>
            <w:tcMar>
              <w:top w:w="0" w:type="dxa"/>
              <w:bottom w:w="0" w:type="dxa"/>
            </w:tcMar>
            <w:vAlign w:val="center"/>
          </w:tcPr>
          <w:p w14:paraId="5BCD445A"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34,359,037,259</w:t>
            </w:r>
          </w:p>
        </w:tc>
      </w:tr>
      <w:tr w:rsidR="00AC49AB" w:rsidRPr="006A6E68" w14:paraId="5EB3818B" w14:textId="77777777" w:rsidTr="006A6E68">
        <w:tc>
          <w:tcPr>
            <w:tcW w:w="377" w:type="pct"/>
            <w:shd w:val="clear" w:color="auto" w:fill="auto"/>
            <w:tcMar>
              <w:top w:w="0" w:type="dxa"/>
              <w:bottom w:w="0" w:type="dxa"/>
            </w:tcMar>
            <w:vAlign w:val="center"/>
          </w:tcPr>
          <w:p w14:paraId="39EE8342"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8</w:t>
            </w:r>
          </w:p>
        </w:tc>
        <w:tc>
          <w:tcPr>
            <w:tcW w:w="2355" w:type="pct"/>
            <w:shd w:val="clear" w:color="auto" w:fill="auto"/>
            <w:tcMar>
              <w:top w:w="0" w:type="dxa"/>
              <w:bottom w:w="0" w:type="dxa"/>
            </w:tcMar>
            <w:vAlign w:val="center"/>
          </w:tcPr>
          <w:p w14:paraId="0E2E5113"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Long-term assets in process</w:t>
            </w:r>
          </w:p>
        </w:tc>
        <w:tc>
          <w:tcPr>
            <w:tcW w:w="1136" w:type="pct"/>
            <w:shd w:val="clear" w:color="auto" w:fill="auto"/>
            <w:tcMar>
              <w:top w:w="0" w:type="dxa"/>
              <w:bottom w:w="0" w:type="dxa"/>
            </w:tcMar>
            <w:vAlign w:val="center"/>
          </w:tcPr>
          <w:p w14:paraId="21E8EE11"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233,282,000</w:t>
            </w:r>
          </w:p>
        </w:tc>
        <w:tc>
          <w:tcPr>
            <w:tcW w:w="1132" w:type="pct"/>
            <w:shd w:val="clear" w:color="auto" w:fill="auto"/>
            <w:tcMar>
              <w:top w:w="0" w:type="dxa"/>
              <w:bottom w:w="0" w:type="dxa"/>
            </w:tcMar>
            <w:vAlign w:val="center"/>
          </w:tcPr>
          <w:p w14:paraId="0001C371"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0</w:t>
            </w:r>
          </w:p>
        </w:tc>
      </w:tr>
      <w:tr w:rsidR="00AC49AB" w:rsidRPr="006A6E68" w14:paraId="5C68877C" w14:textId="77777777" w:rsidTr="006A6E68">
        <w:tc>
          <w:tcPr>
            <w:tcW w:w="377" w:type="pct"/>
            <w:shd w:val="clear" w:color="auto" w:fill="auto"/>
            <w:tcMar>
              <w:top w:w="0" w:type="dxa"/>
              <w:bottom w:w="0" w:type="dxa"/>
            </w:tcMar>
            <w:vAlign w:val="center"/>
          </w:tcPr>
          <w:p w14:paraId="277D93E1"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9</w:t>
            </w:r>
          </w:p>
        </w:tc>
        <w:tc>
          <w:tcPr>
            <w:tcW w:w="2355" w:type="pct"/>
            <w:shd w:val="clear" w:color="auto" w:fill="auto"/>
            <w:tcMar>
              <w:top w:w="0" w:type="dxa"/>
              <w:bottom w:w="0" w:type="dxa"/>
            </w:tcMar>
            <w:vAlign w:val="center"/>
          </w:tcPr>
          <w:p w14:paraId="179EF309"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Other long-term assets</w:t>
            </w:r>
          </w:p>
        </w:tc>
        <w:tc>
          <w:tcPr>
            <w:tcW w:w="1136" w:type="pct"/>
            <w:shd w:val="clear" w:color="auto" w:fill="auto"/>
            <w:tcMar>
              <w:top w:w="0" w:type="dxa"/>
              <w:bottom w:w="0" w:type="dxa"/>
            </w:tcMar>
            <w:vAlign w:val="center"/>
          </w:tcPr>
          <w:p w14:paraId="47DE6102"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586,419,549</w:t>
            </w:r>
          </w:p>
        </w:tc>
        <w:tc>
          <w:tcPr>
            <w:tcW w:w="1132" w:type="pct"/>
            <w:shd w:val="clear" w:color="auto" w:fill="auto"/>
            <w:tcMar>
              <w:top w:w="0" w:type="dxa"/>
              <w:bottom w:w="0" w:type="dxa"/>
            </w:tcMar>
            <w:vAlign w:val="center"/>
          </w:tcPr>
          <w:p w14:paraId="393C612B"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2,024,085,695</w:t>
            </w:r>
          </w:p>
        </w:tc>
      </w:tr>
      <w:tr w:rsidR="00AC49AB" w:rsidRPr="006A6E68" w14:paraId="375B8C77" w14:textId="77777777" w:rsidTr="006A6E68">
        <w:tc>
          <w:tcPr>
            <w:tcW w:w="377" w:type="pct"/>
            <w:shd w:val="clear" w:color="auto" w:fill="auto"/>
            <w:tcMar>
              <w:top w:w="0" w:type="dxa"/>
              <w:bottom w:w="0" w:type="dxa"/>
            </w:tcMar>
            <w:vAlign w:val="center"/>
          </w:tcPr>
          <w:p w14:paraId="31228A39" w14:textId="77777777" w:rsidR="00AC49AB" w:rsidRPr="006A6E68" w:rsidRDefault="00AC49AB" w:rsidP="006A6E68">
            <w:pPr>
              <w:tabs>
                <w:tab w:val="left" w:pos="432"/>
              </w:tabs>
              <w:spacing w:after="120" w:line="360" w:lineRule="auto"/>
              <w:rPr>
                <w:rFonts w:ascii="Arial" w:eastAsia="Arial" w:hAnsi="Arial" w:cs="Arial"/>
                <w:color w:val="010000"/>
                <w:sz w:val="20"/>
                <w:szCs w:val="20"/>
              </w:rPr>
            </w:pPr>
          </w:p>
        </w:tc>
        <w:tc>
          <w:tcPr>
            <w:tcW w:w="2355" w:type="pct"/>
            <w:shd w:val="clear" w:color="auto" w:fill="auto"/>
            <w:tcMar>
              <w:top w:w="0" w:type="dxa"/>
              <w:bottom w:w="0" w:type="dxa"/>
            </w:tcMar>
            <w:vAlign w:val="center"/>
          </w:tcPr>
          <w:p w14:paraId="151D6EF2"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Total</w:t>
            </w:r>
          </w:p>
        </w:tc>
        <w:tc>
          <w:tcPr>
            <w:tcW w:w="1136" w:type="pct"/>
            <w:shd w:val="clear" w:color="auto" w:fill="auto"/>
            <w:tcMar>
              <w:top w:w="0" w:type="dxa"/>
              <w:bottom w:w="0" w:type="dxa"/>
            </w:tcMar>
            <w:vAlign w:val="center"/>
          </w:tcPr>
          <w:p w14:paraId="25360345"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106,043,708,523</w:t>
            </w:r>
          </w:p>
        </w:tc>
        <w:tc>
          <w:tcPr>
            <w:tcW w:w="1132" w:type="pct"/>
            <w:shd w:val="clear" w:color="auto" w:fill="auto"/>
            <w:tcMar>
              <w:top w:w="0" w:type="dxa"/>
              <w:bottom w:w="0" w:type="dxa"/>
            </w:tcMar>
            <w:vAlign w:val="center"/>
          </w:tcPr>
          <w:p w14:paraId="2428413D"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98,325,982,520</w:t>
            </w:r>
          </w:p>
        </w:tc>
      </w:tr>
    </w:tbl>
    <w:p w14:paraId="4E2879C3" w14:textId="77777777" w:rsidR="00AC49AB" w:rsidRPr="006A6E68" w:rsidRDefault="00594EDE" w:rsidP="006A6E68">
      <w:pPr>
        <w:keepNext/>
        <w:numPr>
          <w:ilvl w:val="0"/>
          <w:numId w:val="4"/>
        </w:numPr>
        <w:pBdr>
          <w:top w:val="nil"/>
          <w:left w:val="nil"/>
          <w:bottom w:val="nil"/>
          <w:right w:val="nil"/>
          <w:between w:val="nil"/>
        </w:pBdr>
        <w:tabs>
          <w:tab w:val="left" w:pos="432"/>
          <w:tab w:val="left" w:pos="1056"/>
        </w:tabs>
        <w:spacing w:after="120" w:line="360" w:lineRule="auto"/>
        <w:rPr>
          <w:rFonts w:ascii="Arial" w:eastAsia="Arial" w:hAnsi="Arial" w:cs="Arial"/>
          <w:color w:val="010000"/>
          <w:sz w:val="20"/>
          <w:szCs w:val="20"/>
        </w:rPr>
      </w:pPr>
      <w:r w:rsidRPr="006A6E68">
        <w:rPr>
          <w:rFonts w:ascii="Arial" w:hAnsi="Arial" w:cs="Arial"/>
          <w:color w:val="010000"/>
          <w:sz w:val="20"/>
        </w:rPr>
        <w:t>Operating capital of the Company</w:t>
      </w:r>
    </w:p>
    <w:p w14:paraId="01D40117"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Regular capital source to maintain the Company's operations as of December 31, 2023 is: VND 98,325,982,520; Including:</w:t>
      </w:r>
    </w:p>
    <w:p w14:paraId="3D3A7B44" w14:textId="4E1B533D" w:rsidR="00AC49AB" w:rsidRPr="006A6E68" w:rsidRDefault="00594EDE" w:rsidP="00E61AE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6A6E68">
        <w:rPr>
          <w:rFonts w:ascii="Arial" w:hAnsi="Arial" w:cs="Arial"/>
          <w:color w:val="010000"/>
          <w:sz w:val="20"/>
        </w:rPr>
        <w:t>Owners’ equity</w:t>
      </w:r>
      <w:r w:rsidR="006A6E68" w:rsidRPr="006A6E68">
        <w:rPr>
          <w:rFonts w:ascii="Arial" w:hAnsi="Arial" w:cs="Arial"/>
          <w:color w:val="010000"/>
          <w:sz w:val="20"/>
        </w:rPr>
        <w:t>:</w:t>
      </w:r>
      <w:r w:rsidRPr="006A6E68">
        <w:rPr>
          <w:rFonts w:ascii="Arial" w:hAnsi="Arial" w:cs="Arial"/>
          <w:color w:val="010000"/>
          <w:sz w:val="20"/>
        </w:rPr>
        <w:t xml:space="preserve"> VND 79,821,623,743</w:t>
      </w:r>
    </w:p>
    <w:p w14:paraId="0797A41E" w14:textId="77777777" w:rsidR="00AC49AB" w:rsidRPr="006A6E68" w:rsidRDefault="00594EDE" w:rsidP="00E61AE8">
      <w:pPr>
        <w:numPr>
          <w:ilvl w:val="0"/>
          <w:numId w:val="2"/>
        </w:numPr>
        <w:pBdr>
          <w:top w:val="nil"/>
          <w:left w:val="nil"/>
          <w:bottom w:val="nil"/>
          <w:right w:val="nil"/>
          <w:between w:val="nil"/>
        </w:pBdr>
        <w:tabs>
          <w:tab w:val="left" w:pos="432"/>
          <w:tab w:val="left" w:pos="3515"/>
          <w:tab w:val="left" w:pos="5248"/>
        </w:tabs>
        <w:spacing w:after="120" w:line="360" w:lineRule="auto"/>
        <w:ind w:left="0" w:firstLine="0"/>
        <w:jc w:val="both"/>
        <w:rPr>
          <w:rFonts w:ascii="Arial" w:eastAsia="Arial" w:hAnsi="Arial" w:cs="Arial"/>
          <w:color w:val="010000"/>
          <w:sz w:val="20"/>
          <w:szCs w:val="20"/>
        </w:rPr>
      </w:pPr>
      <w:r w:rsidRPr="006A6E68">
        <w:rPr>
          <w:rFonts w:ascii="Arial" w:hAnsi="Arial" w:cs="Arial"/>
          <w:color w:val="010000"/>
          <w:sz w:val="20"/>
        </w:rPr>
        <w:t>Short-term loan: VND 0</w:t>
      </w:r>
    </w:p>
    <w:p w14:paraId="5F7FD728" w14:textId="23313A66" w:rsidR="00AC49AB" w:rsidRPr="006A6E68" w:rsidRDefault="00594EDE" w:rsidP="00E61AE8">
      <w:pPr>
        <w:numPr>
          <w:ilvl w:val="0"/>
          <w:numId w:val="2"/>
        </w:numPr>
        <w:pBdr>
          <w:top w:val="nil"/>
          <w:left w:val="nil"/>
          <w:bottom w:val="nil"/>
          <w:right w:val="nil"/>
          <w:between w:val="nil"/>
        </w:pBdr>
        <w:tabs>
          <w:tab w:val="left" w:pos="432"/>
          <w:tab w:val="left" w:pos="3515"/>
          <w:tab w:val="left" w:pos="5248"/>
        </w:tabs>
        <w:spacing w:after="120" w:line="360" w:lineRule="auto"/>
        <w:ind w:left="0" w:firstLine="0"/>
        <w:jc w:val="both"/>
        <w:rPr>
          <w:rFonts w:ascii="Arial" w:eastAsia="Arial" w:hAnsi="Arial" w:cs="Arial"/>
          <w:color w:val="010000"/>
          <w:sz w:val="20"/>
          <w:szCs w:val="20"/>
        </w:rPr>
      </w:pPr>
      <w:r w:rsidRPr="006A6E68">
        <w:rPr>
          <w:rFonts w:ascii="Arial" w:hAnsi="Arial" w:cs="Arial"/>
          <w:color w:val="010000"/>
          <w:sz w:val="20"/>
        </w:rPr>
        <w:t>Long-term loan</w:t>
      </w:r>
      <w:r w:rsidR="006A6E68" w:rsidRPr="006A6E68">
        <w:rPr>
          <w:rFonts w:ascii="Arial" w:hAnsi="Arial" w:cs="Arial"/>
          <w:color w:val="010000"/>
          <w:sz w:val="20"/>
        </w:rPr>
        <w:t>:</w:t>
      </w:r>
      <w:r w:rsidRPr="006A6E68">
        <w:rPr>
          <w:rFonts w:ascii="Arial" w:hAnsi="Arial" w:cs="Arial"/>
          <w:color w:val="010000"/>
          <w:sz w:val="20"/>
        </w:rPr>
        <w:t xml:space="preserve"> VND 0</w:t>
      </w:r>
    </w:p>
    <w:p w14:paraId="466E0594" w14:textId="77777777" w:rsidR="00AC49AB" w:rsidRPr="006A6E68" w:rsidRDefault="00594EDE" w:rsidP="00E61AE8">
      <w:pPr>
        <w:numPr>
          <w:ilvl w:val="0"/>
          <w:numId w:val="2"/>
        </w:numPr>
        <w:pBdr>
          <w:top w:val="nil"/>
          <w:left w:val="nil"/>
          <w:bottom w:val="nil"/>
          <w:right w:val="nil"/>
          <w:between w:val="nil"/>
        </w:pBdr>
        <w:tabs>
          <w:tab w:val="left" w:pos="432"/>
          <w:tab w:val="left" w:pos="3515"/>
          <w:tab w:val="left" w:pos="5248"/>
        </w:tabs>
        <w:spacing w:after="120" w:line="360" w:lineRule="auto"/>
        <w:ind w:left="0" w:firstLine="0"/>
        <w:jc w:val="both"/>
        <w:rPr>
          <w:rFonts w:ascii="Arial" w:eastAsia="Arial" w:hAnsi="Arial" w:cs="Arial"/>
          <w:color w:val="010000"/>
          <w:sz w:val="20"/>
          <w:szCs w:val="20"/>
        </w:rPr>
      </w:pPr>
      <w:r w:rsidRPr="006A6E68">
        <w:rPr>
          <w:rFonts w:ascii="Arial" w:hAnsi="Arial" w:cs="Arial"/>
          <w:color w:val="010000"/>
          <w:sz w:val="20"/>
        </w:rPr>
        <w:lastRenderedPageBreak/>
        <w:t>Other capital: VND 18,504,358,777</w:t>
      </w:r>
    </w:p>
    <w:p w14:paraId="05D8D5C3"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(legal appropriations)</w:t>
      </w:r>
    </w:p>
    <w:p w14:paraId="6A8D48E4"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Compared to 2022, the Company's capital to maintain regular operations decreased by 7.3%, equivalent to a decrease of VND 7,717,726,003.</w:t>
      </w:r>
    </w:p>
    <w:p w14:paraId="493255BA" w14:textId="77777777" w:rsidR="00AC49AB" w:rsidRPr="006A6E68" w:rsidRDefault="00594EDE" w:rsidP="00E61AE8">
      <w:pPr>
        <w:keepNext/>
        <w:numPr>
          <w:ilvl w:val="0"/>
          <w:numId w:val="4"/>
        </w:numPr>
        <w:pBdr>
          <w:top w:val="nil"/>
          <w:left w:val="nil"/>
          <w:bottom w:val="nil"/>
          <w:right w:val="nil"/>
          <w:between w:val="nil"/>
        </w:pBdr>
        <w:tabs>
          <w:tab w:val="left" w:pos="432"/>
          <w:tab w:val="left" w:pos="1051"/>
        </w:tabs>
        <w:spacing w:after="120" w:line="360" w:lineRule="auto"/>
        <w:jc w:val="both"/>
        <w:rPr>
          <w:rFonts w:ascii="Arial" w:eastAsia="Arial" w:hAnsi="Arial" w:cs="Arial"/>
          <w:color w:val="010000"/>
          <w:sz w:val="20"/>
          <w:szCs w:val="20"/>
        </w:rPr>
      </w:pPr>
      <w:r w:rsidRPr="006A6E68">
        <w:rPr>
          <w:rFonts w:ascii="Arial" w:hAnsi="Arial" w:cs="Arial"/>
          <w:color w:val="010000"/>
          <w:sz w:val="20"/>
        </w:rPr>
        <w:t>Production and business results in 2023</w:t>
      </w:r>
    </w:p>
    <w:p w14:paraId="2B0FA6ED" w14:textId="77777777" w:rsidR="00AC49AB" w:rsidRPr="006A6E68" w:rsidRDefault="00594EDE" w:rsidP="00E61AE8">
      <w:pPr>
        <w:numPr>
          <w:ilvl w:val="0"/>
          <w:numId w:val="3"/>
        </w:numPr>
        <w:pBdr>
          <w:top w:val="nil"/>
          <w:left w:val="nil"/>
          <w:bottom w:val="nil"/>
          <w:right w:val="nil"/>
          <w:between w:val="nil"/>
        </w:pBdr>
        <w:tabs>
          <w:tab w:val="left" w:pos="432"/>
          <w:tab w:val="left" w:pos="792"/>
        </w:tabs>
        <w:spacing w:after="120" w:line="360" w:lineRule="auto"/>
        <w:jc w:val="both"/>
        <w:rPr>
          <w:rFonts w:ascii="Arial" w:eastAsia="Arial" w:hAnsi="Arial" w:cs="Arial"/>
          <w:color w:val="010000"/>
          <w:sz w:val="20"/>
          <w:szCs w:val="20"/>
        </w:rPr>
      </w:pPr>
      <w:r w:rsidRPr="006A6E68">
        <w:rPr>
          <w:rFonts w:ascii="Arial" w:hAnsi="Arial" w:cs="Arial"/>
          <w:color w:val="010000"/>
          <w:sz w:val="20"/>
        </w:rPr>
        <w:t>Revenue and other income: VND 121,632,459,817</w:t>
      </w:r>
    </w:p>
    <w:p w14:paraId="12838A39" w14:textId="77777777" w:rsidR="00AC49AB" w:rsidRPr="006A6E68" w:rsidRDefault="00594EDE" w:rsidP="00E61AE8">
      <w:pPr>
        <w:numPr>
          <w:ilvl w:val="0"/>
          <w:numId w:val="3"/>
        </w:numPr>
        <w:pBdr>
          <w:top w:val="nil"/>
          <w:left w:val="nil"/>
          <w:bottom w:val="nil"/>
          <w:right w:val="nil"/>
          <w:between w:val="nil"/>
        </w:pBdr>
        <w:tabs>
          <w:tab w:val="left" w:pos="432"/>
          <w:tab w:val="left" w:pos="5694"/>
        </w:tabs>
        <w:spacing w:after="120" w:line="360" w:lineRule="auto"/>
        <w:jc w:val="both"/>
        <w:rPr>
          <w:rFonts w:ascii="Arial" w:eastAsia="Arial" w:hAnsi="Arial" w:cs="Arial"/>
          <w:color w:val="010000"/>
          <w:sz w:val="20"/>
          <w:szCs w:val="20"/>
        </w:rPr>
      </w:pPr>
      <w:r w:rsidRPr="006A6E68">
        <w:rPr>
          <w:rFonts w:ascii="Arial" w:hAnsi="Arial" w:cs="Arial"/>
          <w:color w:val="010000"/>
          <w:sz w:val="20"/>
        </w:rPr>
        <w:t>Expenses: VND 113,880,611,147</w:t>
      </w:r>
    </w:p>
    <w:p w14:paraId="5B5A620E" w14:textId="77777777" w:rsidR="00AC49AB" w:rsidRPr="006A6E68" w:rsidRDefault="00594EDE" w:rsidP="00E61AE8">
      <w:pPr>
        <w:numPr>
          <w:ilvl w:val="0"/>
          <w:numId w:val="3"/>
        </w:numPr>
        <w:pBdr>
          <w:top w:val="nil"/>
          <w:left w:val="nil"/>
          <w:bottom w:val="nil"/>
          <w:right w:val="nil"/>
          <w:between w:val="nil"/>
        </w:pBdr>
        <w:tabs>
          <w:tab w:val="left" w:pos="432"/>
          <w:tab w:val="left" w:pos="797"/>
          <w:tab w:val="left" w:pos="6112"/>
        </w:tabs>
        <w:spacing w:after="120" w:line="360" w:lineRule="auto"/>
        <w:jc w:val="both"/>
        <w:rPr>
          <w:rFonts w:ascii="Arial" w:eastAsia="Arial" w:hAnsi="Arial" w:cs="Arial"/>
          <w:color w:val="010000"/>
          <w:sz w:val="20"/>
          <w:szCs w:val="20"/>
        </w:rPr>
      </w:pPr>
      <w:r w:rsidRPr="006A6E68">
        <w:rPr>
          <w:rFonts w:ascii="Arial" w:hAnsi="Arial" w:cs="Arial"/>
          <w:color w:val="010000"/>
          <w:sz w:val="20"/>
        </w:rPr>
        <w:t xml:space="preserve">Profit before tax: VND 7,751,848,670 </w:t>
      </w:r>
    </w:p>
    <w:p w14:paraId="35709984" w14:textId="77777777" w:rsidR="00AC49AB" w:rsidRPr="006A6E68" w:rsidRDefault="00594EDE" w:rsidP="00E61AE8">
      <w:pPr>
        <w:numPr>
          <w:ilvl w:val="0"/>
          <w:numId w:val="3"/>
        </w:numPr>
        <w:pBdr>
          <w:top w:val="nil"/>
          <w:left w:val="nil"/>
          <w:bottom w:val="nil"/>
          <w:right w:val="nil"/>
          <w:between w:val="nil"/>
        </w:pBdr>
        <w:tabs>
          <w:tab w:val="left" w:pos="432"/>
          <w:tab w:val="left" w:pos="797"/>
          <w:tab w:val="left" w:pos="6112"/>
        </w:tabs>
        <w:spacing w:after="120" w:line="360" w:lineRule="auto"/>
        <w:jc w:val="both"/>
        <w:rPr>
          <w:rFonts w:ascii="Arial" w:eastAsia="Arial" w:hAnsi="Arial" w:cs="Arial"/>
          <w:color w:val="010000"/>
          <w:sz w:val="20"/>
          <w:szCs w:val="20"/>
        </w:rPr>
      </w:pPr>
      <w:r w:rsidRPr="006A6E68">
        <w:rPr>
          <w:rFonts w:ascii="Arial" w:hAnsi="Arial" w:cs="Arial"/>
          <w:color w:val="010000"/>
          <w:sz w:val="20"/>
        </w:rPr>
        <w:t>Corporate income tax expense: VND 1,550,380,768</w:t>
      </w:r>
    </w:p>
    <w:p w14:paraId="3BBE1C0B" w14:textId="77777777" w:rsidR="00AC49AB" w:rsidRPr="006A6E68" w:rsidRDefault="00594EDE" w:rsidP="00E61AE8">
      <w:pPr>
        <w:numPr>
          <w:ilvl w:val="0"/>
          <w:numId w:val="3"/>
        </w:numPr>
        <w:pBdr>
          <w:top w:val="nil"/>
          <w:left w:val="nil"/>
          <w:bottom w:val="nil"/>
          <w:right w:val="nil"/>
          <w:between w:val="nil"/>
        </w:pBdr>
        <w:tabs>
          <w:tab w:val="left" w:pos="432"/>
          <w:tab w:val="left" w:pos="797"/>
          <w:tab w:val="left" w:pos="6112"/>
        </w:tabs>
        <w:spacing w:after="120" w:line="360" w:lineRule="auto"/>
        <w:jc w:val="both"/>
        <w:rPr>
          <w:rFonts w:ascii="Arial" w:eastAsia="Arial" w:hAnsi="Arial" w:cs="Arial"/>
          <w:color w:val="010000"/>
          <w:sz w:val="20"/>
          <w:szCs w:val="20"/>
        </w:rPr>
      </w:pPr>
      <w:r w:rsidRPr="006A6E68">
        <w:rPr>
          <w:rFonts w:ascii="Arial" w:hAnsi="Arial" w:cs="Arial"/>
          <w:color w:val="010000"/>
          <w:sz w:val="20"/>
        </w:rPr>
        <w:t>Profit after tax is VND 6,201,467,902</w:t>
      </w:r>
    </w:p>
    <w:p w14:paraId="0746A997"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Profit after tax in 2023 reached VND 6,201,467,902, an increase of VND 297,417,398 compared to that in 2022, profit after tax reached VND 5,904,050,504.</w:t>
      </w:r>
    </w:p>
    <w:p w14:paraId="3CE4C64B"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Article 3: Approve the Proposal on election of additional members of the Supervisory Board.</w:t>
      </w:r>
    </w:p>
    <w:p w14:paraId="2F980D2E" w14:textId="5B6EBF4D" w:rsidR="00AC49AB" w:rsidRPr="006A6E68" w:rsidRDefault="00594EDE" w:rsidP="00E61AE8">
      <w:pPr>
        <w:numPr>
          <w:ilvl w:val="0"/>
          <w:numId w:val="3"/>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6A6E68">
        <w:rPr>
          <w:rFonts w:ascii="Arial" w:hAnsi="Arial" w:cs="Arial"/>
          <w:color w:val="010000"/>
          <w:sz w:val="20"/>
        </w:rPr>
        <w:t xml:space="preserve">Dismiss Mr. </w:t>
      </w:r>
      <w:r w:rsidR="006A6E68" w:rsidRPr="006A6E68">
        <w:rPr>
          <w:rFonts w:ascii="Arial" w:hAnsi="Arial" w:cs="Arial"/>
          <w:color w:val="010000"/>
          <w:sz w:val="20"/>
        </w:rPr>
        <w:t>Than Van Dung</w:t>
      </w:r>
      <w:r w:rsidRPr="006A6E68">
        <w:rPr>
          <w:rFonts w:ascii="Arial" w:hAnsi="Arial" w:cs="Arial"/>
          <w:color w:val="010000"/>
          <w:sz w:val="20"/>
        </w:rPr>
        <w:t xml:space="preserve"> from the position of member of the Supervisory Board of </w:t>
      </w:r>
      <w:proofErr w:type="spellStart"/>
      <w:r w:rsidRPr="006A6E68">
        <w:rPr>
          <w:rFonts w:ascii="Arial" w:hAnsi="Arial" w:cs="Arial"/>
          <w:color w:val="010000"/>
          <w:sz w:val="20"/>
        </w:rPr>
        <w:t>Cai</w:t>
      </w:r>
      <w:proofErr w:type="spellEnd"/>
      <w:r w:rsidRPr="006A6E68">
        <w:rPr>
          <w:rFonts w:ascii="Arial" w:hAnsi="Arial" w:cs="Arial"/>
          <w:color w:val="010000"/>
          <w:sz w:val="20"/>
        </w:rPr>
        <w:t xml:space="preserve"> Lay Veterinary Pharmaceutical JSC from April 20, 2024</w:t>
      </w:r>
    </w:p>
    <w:p w14:paraId="773E60B2" w14:textId="77777777" w:rsidR="00AC49AB" w:rsidRPr="006A6E68" w:rsidRDefault="00594EDE" w:rsidP="00E61AE8">
      <w:pPr>
        <w:numPr>
          <w:ilvl w:val="0"/>
          <w:numId w:val="3"/>
        </w:numPr>
        <w:pBdr>
          <w:top w:val="nil"/>
          <w:left w:val="nil"/>
          <w:bottom w:val="nil"/>
          <w:right w:val="nil"/>
          <w:between w:val="nil"/>
        </w:pBdr>
        <w:tabs>
          <w:tab w:val="left" w:pos="432"/>
          <w:tab w:val="left" w:pos="834"/>
        </w:tabs>
        <w:spacing w:after="120" w:line="360" w:lineRule="auto"/>
        <w:jc w:val="both"/>
        <w:rPr>
          <w:rFonts w:ascii="Arial" w:eastAsia="Arial" w:hAnsi="Arial" w:cs="Arial"/>
          <w:color w:val="010000"/>
          <w:sz w:val="20"/>
          <w:szCs w:val="20"/>
        </w:rPr>
      </w:pPr>
      <w:r w:rsidRPr="006A6E68">
        <w:rPr>
          <w:rFonts w:ascii="Arial" w:hAnsi="Arial" w:cs="Arial"/>
          <w:color w:val="010000"/>
          <w:sz w:val="20"/>
        </w:rPr>
        <w:t xml:space="preserve"> Appoint Ms. Phan Nguyen </w:t>
      </w:r>
      <w:proofErr w:type="spellStart"/>
      <w:r w:rsidRPr="006A6E68">
        <w:rPr>
          <w:rFonts w:ascii="Arial" w:hAnsi="Arial" w:cs="Arial"/>
          <w:color w:val="010000"/>
          <w:sz w:val="20"/>
        </w:rPr>
        <w:t>Truc</w:t>
      </w:r>
      <w:proofErr w:type="spellEnd"/>
      <w:r w:rsidRPr="006A6E68">
        <w:rPr>
          <w:rFonts w:ascii="Arial" w:hAnsi="Arial" w:cs="Arial"/>
          <w:color w:val="010000"/>
          <w:sz w:val="20"/>
        </w:rPr>
        <w:t xml:space="preserve"> </w:t>
      </w:r>
      <w:proofErr w:type="spellStart"/>
      <w:proofErr w:type="gramStart"/>
      <w:r w:rsidRPr="006A6E68">
        <w:rPr>
          <w:rFonts w:ascii="Arial" w:hAnsi="Arial" w:cs="Arial"/>
          <w:color w:val="010000"/>
          <w:sz w:val="20"/>
        </w:rPr>
        <w:t>My</w:t>
      </w:r>
      <w:proofErr w:type="spellEnd"/>
      <w:proofErr w:type="gramEnd"/>
      <w:r w:rsidRPr="006A6E68">
        <w:rPr>
          <w:rFonts w:ascii="Arial" w:hAnsi="Arial" w:cs="Arial"/>
          <w:color w:val="010000"/>
          <w:sz w:val="20"/>
        </w:rPr>
        <w:t xml:space="preserve"> to the position of member of the Supervisory Board of </w:t>
      </w:r>
      <w:proofErr w:type="spellStart"/>
      <w:r w:rsidRPr="006A6E68">
        <w:rPr>
          <w:rFonts w:ascii="Arial" w:hAnsi="Arial" w:cs="Arial"/>
          <w:color w:val="010000"/>
          <w:sz w:val="20"/>
        </w:rPr>
        <w:t>Cai</w:t>
      </w:r>
      <w:proofErr w:type="spellEnd"/>
      <w:r w:rsidRPr="006A6E68">
        <w:rPr>
          <w:rFonts w:ascii="Arial" w:hAnsi="Arial" w:cs="Arial"/>
          <w:color w:val="010000"/>
          <w:sz w:val="20"/>
        </w:rPr>
        <w:t xml:space="preserve"> Lay Veterinary Pharmaceutical JSC from April 20, 2024.</w:t>
      </w:r>
    </w:p>
    <w:p w14:paraId="2F107557"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Article 4: Approve the Proposal on the production and business plan for 2024.</w:t>
      </w:r>
    </w:p>
    <w:p w14:paraId="25725B01"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The production and business plan for 2024 is as follows:</w:t>
      </w:r>
    </w:p>
    <w:tbl>
      <w:tblPr>
        <w:tblStyle w:val="a0"/>
        <w:tblW w:w="5000" w:type="pct"/>
        <w:tblLook w:val="0400" w:firstRow="0" w:lastRow="0" w:firstColumn="0" w:lastColumn="0" w:noHBand="0" w:noVBand="1"/>
      </w:tblPr>
      <w:tblGrid>
        <w:gridCol w:w="682"/>
        <w:gridCol w:w="4222"/>
        <w:gridCol w:w="2245"/>
        <w:gridCol w:w="1868"/>
      </w:tblGrid>
      <w:tr w:rsidR="00AC49AB" w:rsidRPr="006A6E68" w14:paraId="7248C846" w14:textId="77777777" w:rsidTr="006A6E68">
        <w:tc>
          <w:tcPr>
            <w:tcW w:w="2719" w:type="pct"/>
            <w:gridSpan w:val="2"/>
            <w:vMerge w:val="restart"/>
            <w:tcBorders>
              <w:top w:val="single" w:sz="4" w:space="0" w:color="000000"/>
              <w:left w:val="single" w:sz="4" w:space="0" w:color="000000"/>
            </w:tcBorders>
            <w:shd w:val="clear" w:color="auto" w:fill="auto"/>
            <w:tcMar>
              <w:top w:w="0" w:type="dxa"/>
              <w:bottom w:w="0" w:type="dxa"/>
            </w:tcMar>
            <w:vAlign w:val="center"/>
          </w:tcPr>
          <w:p w14:paraId="2F1A0B62"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Details</w:t>
            </w:r>
          </w:p>
        </w:tc>
        <w:tc>
          <w:tcPr>
            <w:tcW w:w="2281"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15337629"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Plan for 2024</w:t>
            </w:r>
          </w:p>
        </w:tc>
      </w:tr>
      <w:tr w:rsidR="00AC49AB" w:rsidRPr="006A6E68" w14:paraId="30E3C635" w14:textId="77777777" w:rsidTr="006A6E68">
        <w:tc>
          <w:tcPr>
            <w:tcW w:w="2719" w:type="pct"/>
            <w:gridSpan w:val="2"/>
            <w:vMerge/>
            <w:tcBorders>
              <w:top w:val="single" w:sz="4" w:space="0" w:color="000000"/>
              <w:left w:val="single" w:sz="4" w:space="0" w:color="000000"/>
            </w:tcBorders>
            <w:shd w:val="clear" w:color="auto" w:fill="auto"/>
            <w:tcMar>
              <w:top w:w="0" w:type="dxa"/>
              <w:bottom w:w="0" w:type="dxa"/>
            </w:tcMar>
            <w:vAlign w:val="center"/>
          </w:tcPr>
          <w:p w14:paraId="6D382D46" w14:textId="77777777" w:rsidR="00AC49AB" w:rsidRPr="006A6E68" w:rsidRDefault="00AC49AB" w:rsidP="006A6E68">
            <w:pPr>
              <w:pBdr>
                <w:top w:val="nil"/>
                <w:left w:val="nil"/>
                <w:bottom w:val="nil"/>
                <w:right w:val="nil"/>
                <w:between w:val="nil"/>
              </w:pBdr>
              <w:spacing w:after="120" w:line="360" w:lineRule="auto"/>
              <w:rPr>
                <w:rFonts w:ascii="Arial" w:eastAsia="Arial" w:hAnsi="Arial" w:cs="Arial"/>
                <w:color w:val="010000"/>
                <w:sz w:val="20"/>
                <w:szCs w:val="20"/>
              </w:rPr>
            </w:pPr>
          </w:p>
        </w:tc>
        <w:tc>
          <w:tcPr>
            <w:tcW w:w="1245" w:type="pct"/>
            <w:tcBorders>
              <w:top w:val="single" w:sz="4" w:space="0" w:color="000000"/>
              <w:left w:val="single" w:sz="4" w:space="0" w:color="000000"/>
            </w:tcBorders>
            <w:shd w:val="clear" w:color="auto" w:fill="auto"/>
            <w:tcMar>
              <w:top w:w="0" w:type="dxa"/>
              <w:bottom w:w="0" w:type="dxa"/>
            </w:tcMar>
            <w:vAlign w:val="center"/>
          </w:tcPr>
          <w:p w14:paraId="1F2DBC69"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Revenue</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8A1C3DD"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Rate</w:t>
            </w:r>
          </w:p>
        </w:tc>
      </w:tr>
      <w:tr w:rsidR="00AC49AB" w:rsidRPr="006A6E68" w14:paraId="2C951BC4" w14:textId="77777777" w:rsidTr="006A6E68">
        <w:tc>
          <w:tcPr>
            <w:tcW w:w="378" w:type="pct"/>
            <w:tcBorders>
              <w:top w:val="single" w:sz="4" w:space="0" w:color="000000"/>
              <w:left w:val="single" w:sz="4" w:space="0" w:color="000000"/>
            </w:tcBorders>
            <w:shd w:val="clear" w:color="auto" w:fill="auto"/>
            <w:tcMar>
              <w:top w:w="0" w:type="dxa"/>
              <w:bottom w:w="0" w:type="dxa"/>
            </w:tcMar>
            <w:vAlign w:val="center"/>
          </w:tcPr>
          <w:p w14:paraId="2D37BFB0"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1</w:t>
            </w:r>
          </w:p>
        </w:tc>
        <w:tc>
          <w:tcPr>
            <w:tcW w:w="2341" w:type="pct"/>
            <w:tcBorders>
              <w:top w:val="single" w:sz="4" w:space="0" w:color="000000"/>
              <w:left w:val="single" w:sz="4" w:space="0" w:color="000000"/>
            </w:tcBorders>
            <w:shd w:val="clear" w:color="auto" w:fill="auto"/>
            <w:tcMar>
              <w:top w:w="0" w:type="dxa"/>
              <w:bottom w:w="0" w:type="dxa"/>
            </w:tcMar>
            <w:vAlign w:val="center"/>
          </w:tcPr>
          <w:p w14:paraId="4EC19402"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Revenue from goods sale</w:t>
            </w:r>
          </w:p>
        </w:tc>
        <w:tc>
          <w:tcPr>
            <w:tcW w:w="1245" w:type="pct"/>
            <w:tcBorders>
              <w:top w:val="single" w:sz="4" w:space="0" w:color="000000"/>
              <w:left w:val="single" w:sz="4" w:space="0" w:color="000000"/>
            </w:tcBorders>
            <w:shd w:val="clear" w:color="auto" w:fill="auto"/>
            <w:tcMar>
              <w:top w:w="0" w:type="dxa"/>
              <w:bottom w:w="0" w:type="dxa"/>
            </w:tcMar>
            <w:vAlign w:val="center"/>
          </w:tcPr>
          <w:p w14:paraId="7357FF18"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148,300,000,000</w:t>
            </w:r>
          </w:p>
        </w:tc>
        <w:tc>
          <w:tcPr>
            <w:tcW w:w="103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1E22AEA"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100%</w:t>
            </w:r>
          </w:p>
        </w:tc>
      </w:tr>
      <w:tr w:rsidR="00AC49AB" w:rsidRPr="006A6E68" w14:paraId="38198911" w14:textId="77777777" w:rsidTr="006A6E68">
        <w:tc>
          <w:tcPr>
            <w:tcW w:w="37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F56EFFD"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2</w:t>
            </w:r>
          </w:p>
        </w:tc>
        <w:tc>
          <w:tcPr>
            <w:tcW w:w="23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541A92E"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Profit before tax</w:t>
            </w:r>
          </w:p>
        </w:tc>
        <w:tc>
          <w:tcPr>
            <w:tcW w:w="1245"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0435AE"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7,711,600,000</w:t>
            </w:r>
          </w:p>
        </w:tc>
        <w:tc>
          <w:tcPr>
            <w:tcW w:w="103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38C4AAD" w14:textId="77777777" w:rsidR="00AC49AB" w:rsidRPr="006A6E68" w:rsidRDefault="00594EDE" w:rsidP="006A6E6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A6E68">
              <w:rPr>
                <w:rFonts w:ascii="Arial" w:hAnsi="Arial" w:cs="Arial"/>
                <w:color w:val="010000"/>
                <w:sz w:val="20"/>
              </w:rPr>
              <w:t>5.2%</w:t>
            </w:r>
          </w:p>
        </w:tc>
      </w:tr>
    </w:tbl>
    <w:p w14:paraId="46AC302F"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Article 5: Approve the Proposal of the Supervisory Board on selecting an audit company for the Financial Statements 2024.</w:t>
      </w:r>
    </w:p>
    <w:p w14:paraId="56C16133"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 xml:space="preserve">The Supervisory Board of </w:t>
      </w:r>
      <w:proofErr w:type="spellStart"/>
      <w:r w:rsidRPr="006A6E68">
        <w:rPr>
          <w:rFonts w:ascii="Arial" w:hAnsi="Arial" w:cs="Arial"/>
          <w:color w:val="010000"/>
          <w:sz w:val="20"/>
        </w:rPr>
        <w:t>Cai</w:t>
      </w:r>
      <w:proofErr w:type="spellEnd"/>
      <w:r w:rsidRPr="006A6E68">
        <w:rPr>
          <w:rFonts w:ascii="Arial" w:hAnsi="Arial" w:cs="Arial"/>
          <w:color w:val="010000"/>
          <w:sz w:val="20"/>
        </w:rPr>
        <w:t xml:space="preserve"> Lay Veterinary Pharmaceutical JSC respectfully submits to the Annual General Meeting of Shareholders 2024 to consider and authorize the Board of Directors to select an audit company for the Financial Statements 2024.</w:t>
      </w:r>
    </w:p>
    <w:p w14:paraId="53BAD178"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Article 6: Approve the Proposal on the remuneration for the Board of Directors, the Supervisory Board and person in charge of corporate governance in 2024</w:t>
      </w:r>
    </w:p>
    <w:p w14:paraId="4102D0AB"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Regular expenses of the Board of Directors, the Supervisory Board and person in charge of corporate governance are VND 264,000,000, accounting for 0.18% of revenue, including:</w:t>
      </w:r>
    </w:p>
    <w:p w14:paraId="240C156D" w14:textId="512E9EC7" w:rsidR="00AC49AB" w:rsidRPr="006A6E68" w:rsidRDefault="00594EDE" w:rsidP="00E61AE8">
      <w:pPr>
        <w:numPr>
          <w:ilvl w:val="0"/>
          <w:numId w:val="3"/>
        </w:numPr>
        <w:pBdr>
          <w:top w:val="nil"/>
          <w:left w:val="nil"/>
          <w:bottom w:val="nil"/>
          <w:right w:val="nil"/>
          <w:between w:val="nil"/>
        </w:pBdr>
        <w:tabs>
          <w:tab w:val="left" w:pos="432"/>
          <w:tab w:val="left" w:pos="812"/>
        </w:tabs>
        <w:spacing w:after="120" w:line="360" w:lineRule="auto"/>
        <w:jc w:val="both"/>
        <w:rPr>
          <w:rFonts w:ascii="Arial" w:eastAsia="Arial" w:hAnsi="Arial" w:cs="Arial"/>
          <w:color w:val="010000"/>
          <w:sz w:val="20"/>
          <w:szCs w:val="20"/>
        </w:rPr>
      </w:pPr>
      <w:r w:rsidRPr="006A6E68">
        <w:rPr>
          <w:rFonts w:ascii="Arial" w:hAnsi="Arial" w:cs="Arial"/>
          <w:color w:val="010000"/>
          <w:sz w:val="20"/>
        </w:rPr>
        <w:lastRenderedPageBreak/>
        <w:t>Remuneration for the Board of Directors, the Supervisory Board and</w:t>
      </w:r>
      <w:r w:rsidR="006A6E68" w:rsidRPr="006A6E68">
        <w:rPr>
          <w:rFonts w:ascii="Arial" w:hAnsi="Arial" w:cs="Arial"/>
          <w:color w:val="010000"/>
          <w:sz w:val="20"/>
        </w:rPr>
        <w:t xml:space="preserve"> </w:t>
      </w:r>
      <w:r w:rsidRPr="006A6E68">
        <w:rPr>
          <w:rFonts w:ascii="Arial" w:hAnsi="Arial" w:cs="Arial"/>
          <w:color w:val="010000"/>
          <w:sz w:val="20"/>
        </w:rPr>
        <w:t>person in charge of corporate governance: VND 144,000,000</w:t>
      </w:r>
    </w:p>
    <w:p w14:paraId="7E9EC040" w14:textId="77777777" w:rsidR="00AC49AB" w:rsidRPr="006A6E68" w:rsidRDefault="00594EDE" w:rsidP="00E61AE8">
      <w:pPr>
        <w:numPr>
          <w:ilvl w:val="0"/>
          <w:numId w:val="3"/>
        </w:numPr>
        <w:pBdr>
          <w:top w:val="nil"/>
          <w:left w:val="nil"/>
          <w:bottom w:val="nil"/>
          <w:right w:val="nil"/>
          <w:between w:val="nil"/>
        </w:pBdr>
        <w:tabs>
          <w:tab w:val="left" w:pos="432"/>
          <w:tab w:val="left" w:pos="817"/>
          <w:tab w:val="left" w:pos="5071"/>
        </w:tabs>
        <w:spacing w:after="120" w:line="360" w:lineRule="auto"/>
        <w:jc w:val="both"/>
        <w:rPr>
          <w:rFonts w:ascii="Arial" w:eastAsia="Arial" w:hAnsi="Arial" w:cs="Arial"/>
          <w:color w:val="010000"/>
          <w:sz w:val="20"/>
          <w:szCs w:val="20"/>
        </w:rPr>
      </w:pPr>
      <w:r w:rsidRPr="006A6E68">
        <w:rPr>
          <w:rFonts w:ascii="Arial" w:hAnsi="Arial" w:cs="Arial"/>
          <w:color w:val="010000"/>
          <w:sz w:val="20"/>
        </w:rPr>
        <w:t>Management costs and bonuses: VND 120,000,000</w:t>
      </w:r>
    </w:p>
    <w:p w14:paraId="2B42464C"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Remuneration for the Board of Directors, the Supervisory Board and person in charge of corporate governance in 2024 is as follows:</w:t>
      </w:r>
    </w:p>
    <w:p w14:paraId="288F8C94" w14:textId="77777777" w:rsidR="00AC49AB" w:rsidRPr="006A6E68" w:rsidRDefault="00594EDE" w:rsidP="00E61AE8">
      <w:pPr>
        <w:numPr>
          <w:ilvl w:val="0"/>
          <w:numId w:val="3"/>
        </w:numPr>
        <w:pBdr>
          <w:top w:val="nil"/>
          <w:left w:val="nil"/>
          <w:bottom w:val="nil"/>
          <w:right w:val="nil"/>
          <w:between w:val="nil"/>
        </w:pBdr>
        <w:tabs>
          <w:tab w:val="left" w:pos="432"/>
          <w:tab w:val="left" w:pos="817"/>
          <w:tab w:val="left" w:pos="5071"/>
        </w:tabs>
        <w:spacing w:after="120" w:line="360" w:lineRule="auto"/>
        <w:jc w:val="both"/>
        <w:rPr>
          <w:rFonts w:ascii="Arial" w:eastAsia="Arial" w:hAnsi="Arial" w:cs="Arial"/>
          <w:color w:val="010000"/>
          <w:sz w:val="20"/>
          <w:szCs w:val="20"/>
        </w:rPr>
      </w:pPr>
      <w:r w:rsidRPr="006A6E68">
        <w:rPr>
          <w:rFonts w:ascii="Arial" w:hAnsi="Arial" w:cs="Arial"/>
          <w:color w:val="010000"/>
          <w:sz w:val="20"/>
        </w:rPr>
        <w:t>Chair of the Board of Directors: VND 3,000,000/month</w:t>
      </w:r>
    </w:p>
    <w:p w14:paraId="2610E1BC" w14:textId="77777777" w:rsidR="00AC49AB" w:rsidRPr="006A6E68" w:rsidRDefault="00594EDE" w:rsidP="00E61AE8">
      <w:pPr>
        <w:numPr>
          <w:ilvl w:val="0"/>
          <w:numId w:val="3"/>
        </w:numPr>
        <w:pBdr>
          <w:top w:val="nil"/>
          <w:left w:val="nil"/>
          <w:bottom w:val="nil"/>
          <w:right w:val="nil"/>
          <w:between w:val="nil"/>
        </w:pBdr>
        <w:tabs>
          <w:tab w:val="left" w:pos="432"/>
          <w:tab w:val="left" w:pos="775"/>
        </w:tabs>
        <w:spacing w:after="120" w:line="360" w:lineRule="auto"/>
        <w:jc w:val="both"/>
        <w:rPr>
          <w:rFonts w:ascii="Arial" w:eastAsia="Arial" w:hAnsi="Arial" w:cs="Arial"/>
          <w:color w:val="010000"/>
          <w:sz w:val="20"/>
          <w:szCs w:val="20"/>
        </w:rPr>
      </w:pPr>
      <w:r w:rsidRPr="006A6E68">
        <w:rPr>
          <w:rFonts w:ascii="Arial" w:hAnsi="Arial" w:cs="Arial"/>
          <w:color w:val="010000"/>
          <w:sz w:val="20"/>
        </w:rPr>
        <w:t>Members of the Board of Directors, the Chief of the Supervisory Board: VND 2,000,000/month</w:t>
      </w:r>
    </w:p>
    <w:p w14:paraId="70B0A636" w14:textId="77777777" w:rsidR="00AC49AB" w:rsidRPr="006A6E68" w:rsidRDefault="00594EDE" w:rsidP="00E61AE8">
      <w:pPr>
        <w:numPr>
          <w:ilvl w:val="0"/>
          <w:numId w:val="3"/>
        </w:numPr>
        <w:pBdr>
          <w:top w:val="nil"/>
          <w:left w:val="nil"/>
          <w:bottom w:val="nil"/>
          <w:right w:val="nil"/>
          <w:between w:val="nil"/>
        </w:pBdr>
        <w:tabs>
          <w:tab w:val="left" w:pos="432"/>
          <w:tab w:val="left" w:pos="775"/>
        </w:tabs>
        <w:spacing w:after="120" w:line="360" w:lineRule="auto"/>
        <w:jc w:val="both"/>
        <w:rPr>
          <w:rFonts w:ascii="Arial" w:eastAsia="Arial" w:hAnsi="Arial" w:cs="Arial"/>
          <w:color w:val="010000"/>
          <w:sz w:val="20"/>
          <w:szCs w:val="20"/>
        </w:rPr>
      </w:pPr>
      <w:r w:rsidRPr="006A6E68">
        <w:rPr>
          <w:rFonts w:ascii="Arial" w:hAnsi="Arial" w:cs="Arial"/>
          <w:color w:val="010000"/>
          <w:sz w:val="20"/>
        </w:rPr>
        <w:t>Chief of the Supervisory Board: VND 2,000,000/month</w:t>
      </w:r>
    </w:p>
    <w:p w14:paraId="43E5594E" w14:textId="77777777" w:rsidR="00AC49AB" w:rsidRPr="006A6E68" w:rsidRDefault="00594EDE" w:rsidP="00E61AE8">
      <w:pPr>
        <w:numPr>
          <w:ilvl w:val="0"/>
          <w:numId w:val="3"/>
        </w:numPr>
        <w:pBdr>
          <w:top w:val="nil"/>
          <w:left w:val="nil"/>
          <w:bottom w:val="nil"/>
          <w:right w:val="nil"/>
          <w:between w:val="nil"/>
        </w:pBdr>
        <w:tabs>
          <w:tab w:val="left" w:pos="432"/>
          <w:tab w:val="left" w:pos="775"/>
        </w:tabs>
        <w:spacing w:after="120" w:line="360" w:lineRule="auto"/>
        <w:jc w:val="both"/>
        <w:rPr>
          <w:rFonts w:ascii="Arial" w:eastAsia="Arial" w:hAnsi="Arial" w:cs="Arial"/>
          <w:color w:val="010000"/>
          <w:sz w:val="20"/>
          <w:szCs w:val="20"/>
        </w:rPr>
      </w:pPr>
      <w:r w:rsidRPr="006A6E68">
        <w:rPr>
          <w:rFonts w:ascii="Arial" w:hAnsi="Arial" w:cs="Arial"/>
          <w:color w:val="010000"/>
          <w:sz w:val="20"/>
        </w:rPr>
        <w:t>Member of the Supervisory Board: VND 1,000,000/month</w:t>
      </w:r>
    </w:p>
    <w:p w14:paraId="509FF08F" w14:textId="77777777" w:rsidR="00AC49AB" w:rsidRPr="006A6E68" w:rsidRDefault="00594EDE" w:rsidP="00E61AE8">
      <w:pPr>
        <w:numPr>
          <w:ilvl w:val="0"/>
          <w:numId w:val="3"/>
        </w:numPr>
        <w:pBdr>
          <w:top w:val="nil"/>
          <w:left w:val="nil"/>
          <w:bottom w:val="nil"/>
          <w:right w:val="nil"/>
          <w:between w:val="nil"/>
        </w:pBdr>
        <w:tabs>
          <w:tab w:val="left" w:pos="432"/>
          <w:tab w:val="left" w:pos="775"/>
        </w:tabs>
        <w:spacing w:after="120" w:line="360" w:lineRule="auto"/>
        <w:jc w:val="both"/>
        <w:rPr>
          <w:rFonts w:ascii="Arial" w:eastAsia="Arial" w:hAnsi="Arial" w:cs="Arial"/>
          <w:color w:val="010000"/>
          <w:sz w:val="20"/>
          <w:szCs w:val="20"/>
        </w:rPr>
      </w:pPr>
      <w:r w:rsidRPr="006A6E68">
        <w:rPr>
          <w:rFonts w:ascii="Arial" w:hAnsi="Arial" w:cs="Arial"/>
          <w:color w:val="010000"/>
          <w:sz w:val="20"/>
        </w:rPr>
        <w:t>Person in charge of Corporate Governance: VND 1,000,000/month</w:t>
      </w:r>
    </w:p>
    <w:p w14:paraId="22DC7505"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To be proactive in work, the Board of Directors proposes that the General Meeting of Shareholders authorize the Chair of the Board of Directors, on the basis of ensuring benefits for shareholders and the Company, to approve remuneration for each specific case for members of the Board of Directors, when members of the Board of Directors directly perform tasks that help promote the Company's production and business activities.</w:t>
      </w:r>
    </w:p>
    <w:p w14:paraId="7E81F6D6" w14:textId="77777777" w:rsidR="00AC49AB" w:rsidRPr="006A6E68" w:rsidRDefault="00594EDE" w:rsidP="00E61AE8">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Article 7: Terms of enforcement</w:t>
      </w:r>
    </w:p>
    <w:p w14:paraId="5AE76E85" w14:textId="77777777" w:rsidR="00AC49AB" w:rsidRPr="006A6E68" w:rsidRDefault="00594EDE"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The General Meeting of Shareholders assigns the Board of Directors to implement the contents approved by the General Meeting of Shareholders at the General Meeting on the basis of ensuring the best interests of Shareholders and the Company, and complies with legal regulations and the Company’s Charter.</w:t>
      </w:r>
    </w:p>
    <w:p w14:paraId="7B87CB0A" w14:textId="2A143E96" w:rsidR="00AC49AB" w:rsidRPr="006A6E68" w:rsidRDefault="00594EDE" w:rsidP="00E61AE8">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6A6E68">
        <w:rPr>
          <w:rFonts w:ascii="Arial" w:hAnsi="Arial" w:cs="Arial"/>
          <w:color w:val="010000"/>
          <w:sz w:val="20"/>
        </w:rPr>
        <w:t>The General Meeting of Shareholders agrees to assign the Board of Directors and the Supervisory Board to implement the General Mandate unanimously approved by the General Meeting of Shareholders at the Annual Meeting on April 20, 2024 and report to the General Meeting of Shareholders in the following</w:t>
      </w:r>
      <w:r w:rsidR="006A6E68" w:rsidRPr="006A6E68">
        <w:rPr>
          <w:rFonts w:ascii="Arial" w:hAnsi="Arial" w:cs="Arial"/>
          <w:color w:val="010000"/>
          <w:sz w:val="20"/>
        </w:rPr>
        <w:t xml:space="preserve"> Meetings</w:t>
      </w:r>
      <w:r w:rsidRPr="006A6E68">
        <w:rPr>
          <w:rFonts w:ascii="Arial" w:hAnsi="Arial" w:cs="Arial"/>
          <w:color w:val="010000"/>
          <w:sz w:val="20"/>
        </w:rPr>
        <w:t>.</w:t>
      </w:r>
    </w:p>
    <w:p w14:paraId="65B1D768" w14:textId="3CE6B3C9" w:rsidR="006A6E68" w:rsidRPr="006A6E68" w:rsidRDefault="006A6E68" w:rsidP="00E61AE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A6E68">
        <w:rPr>
          <w:rFonts w:ascii="Arial" w:hAnsi="Arial" w:cs="Arial"/>
          <w:color w:val="010000"/>
          <w:sz w:val="20"/>
        </w:rPr>
        <w:t>The full text of this General Mandate was approved at the General Meeting of Shareholders and takes effect from April 20, 2024.</w:t>
      </w:r>
      <w:bookmarkStart w:id="0" w:name="_GoBack"/>
      <w:bookmarkEnd w:id="0"/>
    </w:p>
    <w:sectPr w:rsidR="006A6E68" w:rsidRPr="006A6E68" w:rsidSect="006A6E68">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488"/>
    <w:multiLevelType w:val="multilevel"/>
    <w:tmpl w:val="AB94C5B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E977A4"/>
    <w:multiLevelType w:val="multilevel"/>
    <w:tmpl w:val="9624472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9B37F4"/>
    <w:multiLevelType w:val="multilevel"/>
    <w:tmpl w:val="B99AF202"/>
    <w:lvl w:ilvl="0">
      <w:start w:val="1"/>
      <w:numFmt w:val="decimal"/>
      <w:lvlText w:val="2.%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3E3021D"/>
    <w:multiLevelType w:val="multilevel"/>
    <w:tmpl w:val="4BCAEF2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AB"/>
    <w:rsid w:val="00594EDE"/>
    <w:rsid w:val="006A6E68"/>
    <w:rsid w:val="00AC49AB"/>
    <w:rsid w:val="00E6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387A0"/>
  <w15:docId w15:val="{10633C04-5A8B-4A0E-B96E-21CAB74C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iCs/>
      <w:smallCaps w:val="0"/>
      <w:strike w:val="0"/>
      <w:color w:val="111016"/>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95" w:lineRule="auto"/>
      <w:ind w:firstLine="400"/>
    </w:pPr>
    <w:rPr>
      <w:rFonts w:ascii="Arial" w:eastAsia="Arial" w:hAnsi="Arial" w:cs="Arial"/>
    </w:rPr>
  </w:style>
  <w:style w:type="paragraph" w:customStyle="1" w:styleId="Other0">
    <w:name w:val="Other"/>
    <w:basedOn w:val="Normal"/>
    <w:link w:val="Other"/>
    <w:pPr>
      <w:spacing w:line="295" w:lineRule="auto"/>
      <w:ind w:firstLine="400"/>
    </w:pPr>
    <w:rPr>
      <w:rFonts w:ascii="Arial" w:eastAsia="Arial" w:hAnsi="Arial" w:cs="Arial"/>
    </w:rPr>
  </w:style>
  <w:style w:type="paragraph" w:customStyle="1" w:styleId="Heading11">
    <w:name w:val="Heading #1"/>
    <w:basedOn w:val="Normal"/>
    <w:link w:val="Heading10"/>
    <w:pPr>
      <w:jc w:val="center"/>
      <w:outlineLvl w:val="0"/>
    </w:pPr>
    <w:rPr>
      <w:rFonts w:ascii="Arial" w:eastAsia="Arial" w:hAnsi="Arial" w:cs="Arial"/>
      <w:b/>
      <w:bCs/>
      <w:sz w:val="28"/>
      <w:szCs w:val="28"/>
    </w:rPr>
  </w:style>
  <w:style w:type="paragraph" w:customStyle="1" w:styleId="Bodytext40">
    <w:name w:val="Body text (4)"/>
    <w:basedOn w:val="Normal"/>
    <w:link w:val="Bodytext4"/>
    <w:pPr>
      <w:jc w:val="center"/>
    </w:pPr>
    <w:rPr>
      <w:rFonts w:ascii="Arial" w:eastAsia="Arial" w:hAnsi="Arial" w:cs="Arial"/>
      <w:sz w:val="28"/>
      <w:szCs w:val="28"/>
    </w:rPr>
  </w:style>
  <w:style w:type="paragraph" w:customStyle="1" w:styleId="Tablecaption0">
    <w:name w:val="Table caption"/>
    <w:basedOn w:val="Normal"/>
    <w:link w:val="Tablecaption"/>
    <w:pPr>
      <w:spacing w:line="276" w:lineRule="auto"/>
      <w:ind w:firstLine="520"/>
    </w:pPr>
    <w:rPr>
      <w:rFonts w:ascii="Arial" w:eastAsia="Arial" w:hAnsi="Arial" w:cs="Arial"/>
    </w:rPr>
  </w:style>
  <w:style w:type="paragraph" w:customStyle="1" w:styleId="Heading21">
    <w:name w:val="Heading #2"/>
    <w:basedOn w:val="Normal"/>
    <w:link w:val="Heading20"/>
    <w:pPr>
      <w:spacing w:line="262" w:lineRule="auto"/>
      <w:ind w:firstLine="150"/>
      <w:outlineLvl w:val="1"/>
    </w:pPr>
    <w:rPr>
      <w:rFonts w:ascii="Arial" w:eastAsia="Arial" w:hAnsi="Arial" w:cs="Arial"/>
      <w:b/>
      <w:bCs/>
    </w:rPr>
  </w:style>
  <w:style w:type="paragraph" w:customStyle="1" w:styleId="Bodytext30">
    <w:name w:val="Body text (3)"/>
    <w:basedOn w:val="Normal"/>
    <w:link w:val="Bodytext3"/>
    <w:rPr>
      <w:rFonts w:ascii="Arial" w:eastAsia="Arial" w:hAnsi="Arial" w:cs="Arial"/>
      <w:i/>
      <w:iCs/>
      <w:color w:val="111016"/>
      <w:sz w:val="19"/>
      <w:szCs w:val="19"/>
    </w:rPr>
  </w:style>
  <w:style w:type="paragraph" w:customStyle="1" w:styleId="Bodytext20">
    <w:name w:val="Body text (2)"/>
    <w:basedOn w:val="Normal"/>
    <w:link w:val="Bodytext2"/>
    <w:pPr>
      <w:spacing w:line="228" w:lineRule="auto"/>
    </w:pPr>
    <w:rPr>
      <w:rFonts w:ascii="Arial" w:eastAsia="Arial" w:hAnsi="Arial" w:cs="Arial"/>
      <w:sz w:val="8"/>
      <w:szCs w:val="8"/>
    </w:rPr>
  </w:style>
  <w:style w:type="paragraph" w:customStyle="1" w:styleId="Bodytext50">
    <w:name w:val="Body text (5)"/>
    <w:basedOn w:val="Normal"/>
    <w:link w:val="Bodytext5"/>
    <w:pPr>
      <w:ind w:firstLine="420"/>
    </w:pPr>
    <w:rPr>
      <w:rFonts w:ascii="Times New Roman" w:eastAsia="Times New Roman" w:hAnsi="Times New Roman" w:cs="Times New Roman"/>
      <w:sz w:val="19"/>
      <w:szCs w:val="19"/>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RmX5FtW8MTlzsYg2MFhJdh0Ghg==">CgMxLjAyCGguZ2pkZ3hzOAByITFaNEVzM0RGWGR4U3lJamVja2tzaEt1eVUyMkt2RmZHMw==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2024-04-29T09:14:00Z</dcterms:created>
  <dcterms:modified xsi:type="dcterms:W3CDTF">2024-05-03T03:54:00Z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434263370050469d3a6e3b1370d5223219cc9e374c0972668b026b6efef2937f</vt:lpwstr>
  </property>
</Properties>
</file>