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81793" w:rsidRPr="00753AB7" w:rsidRDefault="00B24B63" w:rsidP="0077516A">
      <w:pPr>
        <w:pBdr>
          <w:top w:val="nil"/>
          <w:left w:val="nil"/>
          <w:bottom w:val="nil"/>
          <w:right w:val="nil"/>
          <w:between w:val="nil"/>
        </w:pBdr>
        <w:tabs>
          <w:tab w:val="left" w:pos="432"/>
          <w:tab w:val="left" w:pos="907"/>
        </w:tabs>
        <w:spacing w:after="120" w:line="360" w:lineRule="auto"/>
        <w:jc w:val="both"/>
        <w:rPr>
          <w:rFonts w:ascii="Arial" w:eastAsia="Arial" w:hAnsi="Arial" w:cs="Arial"/>
          <w:b/>
          <w:color w:val="010000"/>
          <w:sz w:val="20"/>
          <w:szCs w:val="20"/>
        </w:rPr>
      </w:pPr>
      <w:bookmarkStart w:id="0" w:name="_GoBack"/>
      <w:r w:rsidRPr="00753AB7">
        <w:rPr>
          <w:rFonts w:ascii="Arial" w:hAnsi="Arial" w:cs="Arial"/>
          <w:b/>
          <w:color w:val="010000"/>
          <w:sz w:val="20"/>
        </w:rPr>
        <w:t>PJC: Annual General Mandate 2024</w:t>
      </w:r>
    </w:p>
    <w:p w14:paraId="00000002" w14:textId="5C281041" w:rsidR="00C81793" w:rsidRPr="00753AB7" w:rsidRDefault="00B24B63" w:rsidP="0077516A">
      <w:pPr>
        <w:pBdr>
          <w:top w:val="nil"/>
          <w:left w:val="nil"/>
          <w:bottom w:val="nil"/>
          <w:right w:val="nil"/>
          <w:between w:val="nil"/>
        </w:pBdr>
        <w:tabs>
          <w:tab w:val="left" w:pos="432"/>
          <w:tab w:val="left" w:pos="907"/>
        </w:tabs>
        <w:spacing w:after="120" w:line="360" w:lineRule="auto"/>
        <w:jc w:val="both"/>
        <w:rPr>
          <w:rFonts w:ascii="Arial" w:eastAsia="Arial" w:hAnsi="Arial" w:cs="Arial"/>
          <w:color w:val="010000"/>
          <w:sz w:val="20"/>
          <w:szCs w:val="20"/>
        </w:rPr>
      </w:pPr>
      <w:r w:rsidRPr="00753AB7">
        <w:rPr>
          <w:rFonts w:ascii="Arial" w:hAnsi="Arial" w:cs="Arial"/>
          <w:color w:val="010000"/>
          <w:sz w:val="20"/>
        </w:rPr>
        <w:t>On April 17, 2024, Petrolimex Hanoi Transportation and Trading Joint Stock Company announced General Mandate No. 055/ PETA</w:t>
      </w:r>
      <w:r w:rsidR="00753AB7" w:rsidRPr="00753AB7">
        <w:rPr>
          <w:rFonts w:ascii="Arial" w:hAnsi="Arial" w:cs="Arial"/>
          <w:color w:val="010000"/>
          <w:sz w:val="20"/>
        </w:rPr>
        <w:t>JI</w:t>
      </w:r>
      <w:r w:rsidRPr="00753AB7">
        <w:rPr>
          <w:rFonts w:ascii="Arial" w:hAnsi="Arial" w:cs="Arial"/>
          <w:color w:val="010000"/>
          <w:sz w:val="20"/>
        </w:rPr>
        <w:t>COHN-NQDHDCD as follows</w:t>
      </w:r>
      <w:r w:rsidR="00753AB7" w:rsidRPr="00753AB7">
        <w:rPr>
          <w:rFonts w:ascii="Arial" w:hAnsi="Arial" w:cs="Arial"/>
          <w:color w:val="010000"/>
          <w:sz w:val="20"/>
        </w:rPr>
        <w:t>:</w:t>
      </w:r>
    </w:p>
    <w:p w14:paraId="00000003" w14:textId="77777777" w:rsidR="00C81793" w:rsidRPr="00753AB7" w:rsidRDefault="00B24B63" w:rsidP="0077516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53AB7">
        <w:rPr>
          <w:rFonts w:ascii="Arial" w:hAnsi="Arial" w:cs="Arial"/>
          <w:color w:val="010000"/>
          <w:sz w:val="20"/>
        </w:rPr>
        <w:t>‎‎Article 1. Approve the Report on production and business results 2023 and the Production and Business Plan for 2024;</w:t>
      </w:r>
    </w:p>
    <w:p w14:paraId="00000004" w14:textId="77777777" w:rsidR="00C81793" w:rsidRPr="00753AB7" w:rsidRDefault="00B24B63" w:rsidP="0077516A">
      <w:pPr>
        <w:numPr>
          <w:ilvl w:val="0"/>
          <w:numId w:val="4"/>
        </w:numPr>
        <w:pBdr>
          <w:top w:val="nil"/>
          <w:left w:val="nil"/>
          <w:bottom w:val="nil"/>
          <w:right w:val="nil"/>
          <w:between w:val="nil"/>
        </w:pBdr>
        <w:tabs>
          <w:tab w:val="left" w:pos="432"/>
          <w:tab w:val="left" w:pos="932"/>
        </w:tabs>
        <w:spacing w:after="120" w:line="360" w:lineRule="auto"/>
        <w:jc w:val="both"/>
        <w:rPr>
          <w:rFonts w:ascii="Arial" w:eastAsia="Arial" w:hAnsi="Arial" w:cs="Arial"/>
          <w:color w:val="010000"/>
          <w:sz w:val="20"/>
          <w:szCs w:val="20"/>
        </w:rPr>
      </w:pPr>
      <w:r w:rsidRPr="00753AB7">
        <w:rPr>
          <w:rFonts w:ascii="Arial" w:hAnsi="Arial" w:cs="Arial"/>
          <w:color w:val="010000"/>
          <w:sz w:val="20"/>
        </w:rPr>
        <w:t>Production and business results in 2023:</w:t>
      </w:r>
    </w:p>
    <w:p w14:paraId="00000005" w14:textId="68FF7762" w:rsidR="00C81793" w:rsidRPr="00753AB7" w:rsidRDefault="00B24B63" w:rsidP="0077516A">
      <w:pPr>
        <w:numPr>
          <w:ilvl w:val="0"/>
          <w:numId w:val="5"/>
        </w:numPr>
        <w:pBdr>
          <w:top w:val="nil"/>
          <w:left w:val="nil"/>
          <w:bottom w:val="nil"/>
          <w:right w:val="nil"/>
          <w:between w:val="nil"/>
        </w:pBdr>
        <w:tabs>
          <w:tab w:val="left" w:pos="432"/>
          <w:tab w:val="left" w:pos="654"/>
        </w:tabs>
        <w:spacing w:after="120" w:line="360" w:lineRule="auto"/>
        <w:jc w:val="both"/>
        <w:rPr>
          <w:rFonts w:ascii="Arial" w:eastAsia="Arial" w:hAnsi="Arial" w:cs="Arial"/>
          <w:color w:val="010000"/>
          <w:sz w:val="20"/>
          <w:szCs w:val="20"/>
        </w:rPr>
      </w:pPr>
      <w:r w:rsidRPr="00753AB7">
        <w:rPr>
          <w:rFonts w:ascii="Arial" w:hAnsi="Arial" w:cs="Arial"/>
          <w:color w:val="010000"/>
          <w:sz w:val="20"/>
        </w:rPr>
        <w:t>Realized revenue: VND 1,201,255 million</w:t>
      </w:r>
    </w:p>
    <w:p w14:paraId="00000006" w14:textId="64789472" w:rsidR="00C81793" w:rsidRPr="00753AB7" w:rsidRDefault="00B24B63" w:rsidP="0077516A">
      <w:pPr>
        <w:numPr>
          <w:ilvl w:val="0"/>
          <w:numId w:val="5"/>
        </w:numPr>
        <w:pBdr>
          <w:top w:val="nil"/>
          <w:left w:val="nil"/>
          <w:bottom w:val="nil"/>
          <w:right w:val="nil"/>
          <w:between w:val="nil"/>
        </w:pBdr>
        <w:tabs>
          <w:tab w:val="left" w:pos="432"/>
          <w:tab w:val="left" w:pos="654"/>
        </w:tabs>
        <w:spacing w:after="120" w:line="360" w:lineRule="auto"/>
        <w:jc w:val="both"/>
        <w:rPr>
          <w:rFonts w:ascii="Arial" w:eastAsia="Arial" w:hAnsi="Arial" w:cs="Arial"/>
          <w:color w:val="010000"/>
          <w:sz w:val="20"/>
          <w:szCs w:val="20"/>
        </w:rPr>
      </w:pPr>
      <w:r w:rsidRPr="00753AB7">
        <w:rPr>
          <w:rFonts w:ascii="Arial" w:hAnsi="Arial" w:cs="Arial"/>
          <w:color w:val="010000"/>
          <w:sz w:val="20"/>
        </w:rPr>
        <w:t>Profit before tax: VND 39,812 million;</w:t>
      </w:r>
    </w:p>
    <w:p w14:paraId="00000007" w14:textId="77777777" w:rsidR="00C81793" w:rsidRPr="00753AB7" w:rsidRDefault="00B24B63" w:rsidP="0077516A">
      <w:pPr>
        <w:numPr>
          <w:ilvl w:val="0"/>
          <w:numId w:val="5"/>
        </w:numPr>
        <w:pBdr>
          <w:top w:val="nil"/>
          <w:left w:val="nil"/>
          <w:bottom w:val="nil"/>
          <w:right w:val="nil"/>
          <w:between w:val="nil"/>
        </w:pBdr>
        <w:tabs>
          <w:tab w:val="left" w:pos="432"/>
          <w:tab w:val="left" w:pos="649"/>
        </w:tabs>
        <w:spacing w:after="120" w:line="360" w:lineRule="auto"/>
        <w:jc w:val="both"/>
        <w:rPr>
          <w:rFonts w:ascii="Arial" w:eastAsia="Arial" w:hAnsi="Arial" w:cs="Arial"/>
          <w:color w:val="010000"/>
          <w:sz w:val="20"/>
          <w:szCs w:val="20"/>
        </w:rPr>
      </w:pPr>
      <w:r w:rsidRPr="00753AB7">
        <w:rPr>
          <w:rFonts w:ascii="Arial" w:hAnsi="Arial" w:cs="Arial"/>
          <w:color w:val="010000"/>
          <w:sz w:val="20"/>
        </w:rPr>
        <w:t>Profit after tax: VND 31,730 million</w:t>
      </w:r>
    </w:p>
    <w:p w14:paraId="00000008" w14:textId="3DD30E95" w:rsidR="00C81793" w:rsidRPr="00753AB7" w:rsidRDefault="00B24B63" w:rsidP="0077516A">
      <w:pPr>
        <w:numPr>
          <w:ilvl w:val="0"/>
          <w:numId w:val="4"/>
        </w:numPr>
        <w:pBdr>
          <w:top w:val="nil"/>
          <w:left w:val="nil"/>
          <w:bottom w:val="nil"/>
          <w:right w:val="nil"/>
          <w:between w:val="nil"/>
        </w:pBdr>
        <w:tabs>
          <w:tab w:val="left" w:pos="432"/>
          <w:tab w:val="left" w:pos="937"/>
        </w:tabs>
        <w:spacing w:after="120" w:line="360" w:lineRule="auto"/>
        <w:jc w:val="both"/>
        <w:rPr>
          <w:rFonts w:ascii="Arial" w:eastAsia="Arial" w:hAnsi="Arial" w:cs="Arial"/>
          <w:color w:val="010000"/>
          <w:sz w:val="20"/>
          <w:szCs w:val="20"/>
        </w:rPr>
      </w:pPr>
      <w:r w:rsidRPr="00753AB7">
        <w:rPr>
          <w:rFonts w:ascii="Arial" w:hAnsi="Arial" w:cs="Arial"/>
          <w:color w:val="010000"/>
          <w:sz w:val="20"/>
        </w:rPr>
        <w:t>Production and business plan 2024:</w:t>
      </w:r>
    </w:p>
    <w:p w14:paraId="00000009" w14:textId="77777777" w:rsidR="00C81793" w:rsidRPr="00753AB7" w:rsidRDefault="00B24B63" w:rsidP="0077516A">
      <w:pPr>
        <w:numPr>
          <w:ilvl w:val="0"/>
          <w:numId w:val="5"/>
        </w:numPr>
        <w:pBdr>
          <w:top w:val="nil"/>
          <w:left w:val="nil"/>
          <w:bottom w:val="nil"/>
          <w:right w:val="nil"/>
          <w:between w:val="nil"/>
        </w:pBdr>
        <w:tabs>
          <w:tab w:val="left" w:pos="432"/>
          <w:tab w:val="left" w:pos="658"/>
        </w:tabs>
        <w:spacing w:after="120" w:line="360" w:lineRule="auto"/>
        <w:jc w:val="both"/>
        <w:rPr>
          <w:rFonts w:ascii="Arial" w:eastAsia="Arial" w:hAnsi="Arial" w:cs="Arial"/>
          <w:color w:val="010000"/>
          <w:sz w:val="20"/>
          <w:szCs w:val="20"/>
        </w:rPr>
      </w:pPr>
      <w:r w:rsidRPr="00753AB7">
        <w:rPr>
          <w:rFonts w:ascii="Arial" w:hAnsi="Arial" w:cs="Arial"/>
          <w:color w:val="010000"/>
          <w:sz w:val="20"/>
        </w:rPr>
        <w:t>Expected revenue: VND 1,284,814 million</w:t>
      </w:r>
    </w:p>
    <w:p w14:paraId="0000000A" w14:textId="77777777" w:rsidR="00C81793" w:rsidRPr="00753AB7" w:rsidRDefault="00B24B63" w:rsidP="0077516A">
      <w:pPr>
        <w:numPr>
          <w:ilvl w:val="0"/>
          <w:numId w:val="5"/>
        </w:numPr>
        <w:pBdr>
          <w:top w:val="nil"/>
          <w:left w:val="nil"/>
          <w:bottom w:val="nil"/>
          <w:right w:val="nil"/>
          <w:between w:val="nil"/>
        </w:pBdr>
        <w:tabs>
          <w:tab w:val="left" w:pos="432"/>
          <w:tab w:val="left" w:pos="658"/>
        </w:tabs>
        <w:spacing w:after="120" w:line="360" w:lineRule="auto"/>
        <w:jc w:val="both"/>
        <w:rPr>
          <w:rFonts w:ascii="Arial" w:eastAsia="Arial" w:hAnsi="Arial" w:cs="Arial"/>
          <w:color w:val="010000"/>
          <w:sz w:val="20"/>
          <w:szCs w:val="20"/>
        </w:rPr>
      </w:pPr>
      <w:r w:rsidRPr="00753AB7">
        <w:rPr>
          <w:rFonts w:ascii="Arial" w:hAnsi="Arial" w:cs="Arial"/>
          <w:color w:val="010000"/>
          <w:sz w:val="20"/>
        </w:rPr>
        <w:t>Profit before tax: VND 28,070 million</w:t>
      </w:r>
    </w:p>
    <w:p w14:paraId="0000000B" w14:textId="77777777" w:rsidR="00C81793" w:rsidRPr="00753AB7" w:rsidRDefault="00B24B63" w:rsidP="0077516A">
      <w:pPr>
        <w:numPr>
          <w:ilvl w:val="0"/>
          <w:numId w:val="5"/>
        </w:numPr>
        <w:pBdr>
          <w:top w:val="nil"/>
          <w:left w:val="nil"/>
          <w:bottom w:val="nil"/>
          <w:right w:val="nil"/>
          <w:between w:val="nil"/>
        </w:pBdr>
        <w:tabs>
          <w:tab w:val="left" w:pos="432"/>
          <w:tab w:val="left" w:pos="654"/>
        </w:tabs>
        <w:spacing w:after="120" w:line="360" w:lineRule="auto"/>
        <w:jc w:val="both"/>
        <w:rPr>
          <w:rFonts w:ascii="Arial" w:eastAsia="Arial" w:hAnsi="Arial" w:cs="Arial"/>
          <w:color w:val="010000"/>
          <w:sz w:val="20"/>
          <w:szCs w:val="20"/>
        </w:rPr>
      </w:pPr>
      <w:r w:rsidRPr="00753AB7">
        <w:rPr>
          <w:rFonts w:ascii="Arial" w:hAnsi="Arial" w:cs="Arial"/>
          <w:color w:val="010000"/>
          <w:sz w:val="20"/>
        </w:rPr>
        <w:t>Profit after tax: VND 22,456 million</w:t>
      </w:r>
    </w:p>
    <w:p w14:paraId="0000000C" w14:textId="77777777" w:rsidR="00C81793" w:rsidRPr="00753AB7" w:rsidRDefault="00B24B63" w:rsidP="0077516A">
      <w:pPr>
        <w:numPr>
          <w:ilvl w:val="0"/>
          <w:numId w:val="5"/>
        </w:numPr>
        <w:pBdr>
          <w:top w:val="nil"/>
          <w:left w:val="nil"/>
          <w:bottom w:val="nil"/>
          <w:right w:val="nil"/>
          <w:between w:val="nil"/>
        </w:pBdr>
        <w:tabs>
          <w:tab w:val="left" w:pos="432"/>
          <w:tab w:val="left" w:pos="654"/>
        </w:tabs>
        <w:spacing w:after="120" w:line="360" w:lineRule="auto"/>
        <w:jc w:val="both"/>
        <w:rPr>
          <w:rFonts w:ascii="Arial" w:eastAsia="Arial" w:hAnsi="Arial" w:cs="Arial"/>
          <w:color w:val="010000"/>
          <w:sz w:val="20"/>
          <w:szCs w:val="20"/>
        </w:rPr>
      </w:pPr>
      <w:r w:rsidRPr="00753AB7">
        <w:rPr>
          <w:rFonts w:ascii="Arial" w:hAnsi="Arial" w:cs="Arial"/>
          <w:color w:val="010000"/>
          <w:sz w:val="20"/>
        </w:rPr>
        <w:t>Dividend payment rate (in cash or bonus shares) 15%</w:t>
      </w:r>
    </w:p>
    <w:p w14:paraId="0000000D" w14:textId="7DC1BD94" w:rsidR="00C81793" w:rsidRPr="00753AB7" w:rsidRDefault="00B24B63" w:rsidP="0077516A">
      <w:pPr>
        <w:numPr>
          <w:ilvl w:val="0"/>
          <w:numId w:val="4"/>
        </w:numPr>
        <w:pBdr>
          <w:top w:val="nil"/>
          <w:left w:val="nil"/>
          <w:bottom w:val="nil"/>
          <w:right w:val="nil"/>
          <w:between w:val="nil"/>
        </w:pBdr>
        <w:tabs>
          <w:tab w:val="left" w:pos="432"/>
          <w:tab w:val="left" w:pos="994"/>
        </w:tabs>
        <w:spacing w:after="120" w:line="360" w:lineRule="auto"/>
        <w:jc w:val="both"/>
        <w:rPr>
          <w:rFonts w:ascii="Arial" w:eastAsia="Arial" w:hAnsi="Arial" w:cs="Arial"/>
          <w:color w:val="010000"/>
          <w:sz w:val="20"/>
          <w:szCs w:val="20"/>
        </w:rPr>
      </w:pPr>
      <w:r w:rsidRPr="00753AB7">
        <w:rPr>
          <w:rFonts w:ascii="Arial" w:hAnsi="Arial" w:cs="Arial"/>
          <w:color w:val="010000"/>
          <w:sz w:val="20"/>
        </w:rPr>
        <w:t>Investment plan 2024: VND 88,030 million</w:t>
      </w:r>
    </w:p>
    <w:p w14:paraId="0000000E" w14:textId="77777777" w:rsidR="00C81793" w:rsidRPr="00753AB7" w:rsidRDefault="00B24B63" w:rsidP="0077516A">
      <w:pPr>
        <w:pBdr>
          <w:top w:val="nil"/>
          <w:left w:val="nil"/>
          <w:bottom w:val="nil"/>
          <w:right w:val="nil"/>
          <w:between w:val="nil"/>
        </w:pBdr>
        <w:tabs>
          <w:tab w:val="left" w:pos="432"/>
          <w:tab w:val="left" w:pos="994"/>
        </w:tabs>
        <w:spacing w:after="120" w:line="360" w:lineRule="auto"/>
        <w:jc w:val="both"/>
        <w:rPr>
          <w:rFonts w:ascii="Arial" w:eastAsia="Arial" w:hAnsi="Arial" w:cs="Arial"/>
          <w:color w:val="010000"/>
          <w:sz w:val="20"/>
          <w:szCs w:val="20"/>
        </w:rPr>
      </w:pPr>
      <w:r w:rsidRPr="00753AB7">
        <w:rPr>
          <w:rFonts w:ascii="Arial" w:hAnsi="Arial" w:cs="Arial"/>
          <w:color w:val="010000"/>
          <w:sz w:val="20"/>
        </w:rPr>
        <w:t>In which:</w:t>
      </w:r>
    </w:p>
    <w:p w14:paraId="0000000F" w14:textId="77BCA8AB" w:rsidR="00C81793" w:rsidRPr="00753AB7" w:rsidRDefault="00B24B63" w:rsidP="0077516A">
      <w:pPr>
        <w:numPr>
          <w:ilvl w:val="0"/>
          <w:numId w:val="5"/>
        </w:numPr>
        <w:pBdr>
          <w:top w:val="nil"/>
          <w:left w:val="nil"/>
          <w:bottom w:val="nil"/>
          <w:right w:val="nil"/>
          <w:between w:val="nil"/>
        </w:pBdr>
        <w:tabs>
          <w:tab w:val="left" w:pos="432"/>
          <w:tab w:val="left" w:pos="668"/>
        </w:tabs>
        <w:spacing w:after="120" w:line="360" w:lineRule="auto"/>
        <w:jc w:val="both"/>
        <w:rPr>
          <w:rFonts w:ascii="Arial" w:eastAsia="Arial" w:hAnsi="Arial" w:cs="Arial"/>
          <w:color w:val="010000"/>
          <w:sz w:val="20"/>
          <w:szCs w:val="20"/>
        </w:rPr>
      </w:pPr>
      <w:r w:rsidRPr="00753AB7">
        <w:rPr>
          <w:rFonts w:ascii="Arial" w:hAnsi="Arial" w:cs="Arial"/>
          <w:color w:val="010000"/>
          <w:sz w:val="20"/>
        </w:rPr>
        <w:t xml:space="preserve">Transfered investment value </w:t>
      </w:r>
      <w:r w:rsidR="00753AB7" w:rsidRPr="00753AB7">
        <w:rPr>
          <w:rFonts w:ascii="Arial" w:hAnsi="Arial" w:cs="Arial"/>
          <w:color w:val="010000"/>
          <w:sz w:val="20"/>
        </w:rPr>
        <w:t xml:space="preserve">from </w:t>
      </w:r>
      <w:r w:rsidRPr="00753AB7">
        <w:rPr>
          <w:rFonts w:ascii="Arial" w:hAnsi="Arial" w:cs="Arial"/>
          <w:color w:val="010000"/>
          <w:sz w:val="20"/>
        </w:rPr>
        <w:t>2023:</w:t>
      </w:r>
      <w:r w:rsidR="00753AB7" w:rsidRPr="00753AB7">
        <w:rPr>
          <w:rFonts w:ascii="Arial" w:hAnsi="Arial" w:cs="Arial"/>
          <w:color w:val="010000"/>
          <w:sz w:val="20"/>
        </w:rPr>
        <w:t xml:space="preserve"> </w:t>
      </w:r>
      <w:r w:rsidRPr="00753AB7">
        <w:rPr>
          <w:rFonts w:ascii="Arial" w:hAnsi="Arial" w:cs="Arial"/>
          <w:color w:val="010000"/>
          <w:sz w:val="20"/>
        </w:rPr>
        <w:t>VND 38,680 million</w:t>
      </w:r>
    </w:p>
    <w:p w14:paraId="00000010" w14:textId="79B229CD" w:rsidR="00C81793" w:rsidRPr="00753AB7" w:rsidRDefault="00B24B63" w:rsidP="0077516A">
      <w:pPr>
        <w:numPr>
          <w:ilvl w:val="0"/>
          <w:numId w:val="5"/>
        </w:numPr>
        <w:pBdr>
          <w:top w:val="nil"/>
          <w:left w:val="nil"/>
          <w:bottom w:val="nil"/>
          <w:right w:val="nil"/>
          <w:between w:val="nil"/>
        </w:pBdr>
        <w:tabs>
          <w:tab w:val="left" w:pos="432"/>
          <w:tab w:val="left" w:pos="673"/>
        </w:tabs>
        <w:spacing w:after="120" w:line="360" w:lineRule="auto"/>
        <w:jc w:val="both"/>
        <w:rPr>
          <w:rFonts w:ascii="Arial" w:eastAsia="Arial" w:hAnsi="Arial" w:cs="Arial"/>
          <w:color w:val="010000"/>
          <w:sz w:val="20"/>
          <w:szCs w:val="20"/>
        </w:rPr>
      </w:pPr>
      <w:r w:rsidRPr="00753AB7">
        <w:rPr>
          <w:rFonts w:ascii="Arial" w:hAnsi="Arial" w:cs="Arial"/>
          <w:color w:val="010000"/>
          <w:sz w:val="20"/>
        </w:rPr>
        <w:t>Investment value in 2024: VND 49,350 million;</w:t>
      </w:r>
    </w:p>
    <w:p w14:paraId="00000011" w14:textId="22A271A1" w:rsidR="00C81793" w:rsidRPr="00753AB7" w:rsidRDefault="00B24B63" w:rsidP="0077516A">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53AB7">
        <w:rPr>
          <w:rFonts w:ascii="Arial" w:hAnsi="Arial" w:cs="Arial"/>
          <w:color w:val="010000"/>
          <w:sz w:val="20"/>
        </w:rPr>
        <w:t>Invest in transportation vehicles: VND 29,000 million</w:t>
      </w:r>
    </w:p>
    <w:p w14:paraId="00000012" w14:textId="77777777" w:rsidR="00C81793" w:rsidRPr="00753AB7" w:rsidRDefault="00B24B63" w:rsidP="0077516A">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53AB7">
        <w:rPr>
          <w:rFonts w:ascii="Arial" w:hAnsi="Arial" w:cs="Arial"/>
          <w:color w:val="010000"/>
          <w:sz w:val="20"/>
        </w:rPr>
        <w:t>Investment in new construction of Petrol Station 01: VND 7,200 Million.</w:t>
      </w:r>
    </w:p>
    <w:p w14:paraId="00000013" w14:textId="60712C25" w:rsidR="00C81793" w:rsidRPr="00753AB7" w:rsidRDefault="00B24B63" w:rsidP="0077516A">
      <w:pPr>
        <w:numPr>
          <w:ilvl w:val="0"/>
          <w:numId w:val="3"/>
        </w:numPr>
        <w:pBdr>
          <w:top w:val="nil"/>
          <w:left w:val="nil"/>
          <w:bottom w:val="nil"/>
          <w:right w:val="nil"/>
          <w:between w:val="nil"/>
        </w:pBdr>
        <w:tabs>
          <w:tab w:val="left" w:pos="432"/>
          <w:tab w:val="left" w:pos="702"/>
        </w:tabs>
        <w:spacing w:after="120" w:line="360" w:lineRule="auto"/>
        <w:ind w:left="0" w:firstLine="0"/>
        <w:jc w:val="both"/>
        <w:rPr>
          <w:rFonts w:ascii="Arial" w:eastAsia="Arial" w:hAnsi="Arial" w:cs="Arial"/>
          <w:color w:val="010000"/>
          <w:sz w:val="20"/>
          <w:szCs w:val="20"/>
        </w:rPr>
      </w:pPr>
      <w:r w:rsidRPr="00753AB7">
        <w:rPr>
          <w:rFonts w:ascii="Arial" w:hAnsi="Arial" w:cs="Arial"/>
          <w:color w:val="010000"/>
          <w:sz w:val="20"/>
        </w:rPr>
        <w:t>Investment in automatic tank measuring device (Petrol Station): VND 2,200 Million.</w:t>
      </w:r>
    </w:p>
    <w:p w14:paraId="00000014" w14:textId="07D22FDE" w:rsidR="00C81793" w:rsidRPr="00753AB7" w:rsidRDefault="00B24B63" w:rsidP="0077516A">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53AB7">
        <w:rPr>
          <w:rFonts w:ascii="Arial" w:hAnsi="Arial" w:cs="Arial"/>
          <w:color w:val="010000"/>
          <w:sz w:val="20"/>
        </w:rPr>
        <w:t xml:space="preserve">Approve the construction of </w:t>
      </w:r>
      <w:r w:rsidR="00753AB7" w:rsidRPr="00753AB7">
        <w:rPr>
          <w:rFonts w:ascii="Arial" w:hAnsi="Arial" w:cs="Arial"/>
          <w:color w:val="010000"/>
          <w:sz w:val="20"/>
        </w:rPr>
        <w:t>capital</w:t>
      </w:r>
      <w:r w:rsidRPr="00753AB7">
        <w:rPr>
          <w:rFonts w:ascii="Arial" w:hAnsi="Arial" w:cs="Arial"/>
          <w:color w:val="010000"/>
          <w:sz w:val="20"/>
        </w:rPr>
        <w:t xml:space="preserve"> construction item</w:t>
      </w:r>
      <w:r w:rsidR="00753AB7" w:rsidRPr="00753AB7">
        <w:rPr>
          <w:rFonts w:ascii="Arial" w:hAnsi="Arial" w:cs="Arial"/>
          <w:color w:val="010000"/>
          <w:sz w:val="20"/>
        </w:rPr>
        <w:t>:</w:t>
      </w:r>
      <w:r w:rsidRPr="00753AB7">
        <w:rPr>
          <w:rFonts w:ascii="Arial" w:hAnsi="Arial" w:cs="Arial"/>
          <w:color w:val="010000"/>
          <w:sz w:val="20"/>
        </w:rPr>
        <w:t xml:space="preserve"> VND 4,850 million</w:t>
      </w:r>
    </w:p>
    <w:p w14:paraId="00000015" w14:textId="77777777" w:rsidR="00C81793" w:rsidRPr="00753AB7" w:rsidRDefault="00B24B63" w:rsidP="0077516A">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53AB7">
        <w:rPr>
          <w:rFonts w:ascii="Arial" w:hAnsi="Arial" w:cs="Arial"/>
          <w:color w:val="010000"/>
          <w:sz w:val="20"/>
        </w:rPr>
        <w:t>Tatsuno gasoline pump: VND 1,100 million</w:t>
      </w:r>
    </w:p>
    <w:p w14:paraId="00000016" w14:textId="25831BE9" w:rsidR="00C81793" w:rsidRPr="00753AB7" w:rsidRDefault="00B24B63" w:rsidP="0077516A">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53AB7">
        <w:rPr>
          <w:rFonts w:ascii="Arial" w:hAnsi="Arial" w:cs="Arial"/>
          <w:color w:val="010000"/>
          <w:sz w:val="20"/>
        </w:rPr>
        <w:t>Purchase 7-seat car</w:t>
      </w:r>
      <w:r w:rsidR="00753AB7" w:rsidRPr="00753AB7">
        <w:rPr>
          <w:rFonts w:ascii="Arial" w:hAnsi="Arial" w:cs="Arial"/>
          <w:color w:val="010000"/>
          <w:sz w:val="20"/>
        </w:rPr>
        <w:t>:</w:t>
      </w:r>
      <w:r w:rsidRPr="00753AB7">
        <w:rPr>
          <w:rFonts w:ascii="Arial" w:hAnsi="Arial" w:cs="Arial"/>
          <w:color w:val="010000"/>
          <w:sz w:val="20"/>
        </w:rPr>
        <w:t xml:space="preserve"> VND 5,000 million</w:t>
      </w:r>
    </w:p>
    <w:p w14:paraId="00000017" w14:textId="77777777" w:rsidR="00C81793" w:rsidRPr="00753AB7" w:rsidRDefault="00B24B63" w:rsidP="0077516A">
      <w:pPr>
        <w:numPr>
          <w:ilvl w:val="0"/>
          <w:numId w:val="1"/>
        </w:numPr>
        <w:pBdr>
          <w:top w:val="nil"/>
          <w:left w:val="nil"/>
          <w:bottom w:val="nil"/>
          <w:right w:val="nil"/>
          <w:between w:val="nil"/>
        </w:pBdr>
        <w:tabs>
          <w:tab w:val="left" w:pos="432"/>
          <w:tab w:val="left" w:pos="785"/>
        </w:tabs>
        <w:spacing w:after="120" w:line="360" w:lineRule="auto"/>
        <w:jc w:val="both"/>
        <w:rPr>
          <w:rFonts w:ascii="Arial" w:eastAsia="Arial" w:hAnsi="Arial" w:cs="Arial"/>
          <w:color w:val="010000"/>
          <w:sz w:val="20"/>
          <w:szCs w:val="20"/>
        </w:rPr>
      </w:pPr>
      <w:r w:rsidRPr="00753AB7">
        <w:rPr>
          <w:rFonts w:ascii="Arial" w:hAnsi="Arial" w:cs="Arial"/>
          <w:color w:val="010000"/>
          <w:sz w:val="20"/>
        </w:rPr>
        <w:t>Of the total investment value above, the disbursement plan in 2024 is VND 49,930 million. The General Meeting of Shareholders assigns the Board of Directors to implement investment plan based on the actual needs.</w:t>
      </w:r>
    </w:p>
    <w:p w14:paraId="00000018" w14:textId="77777777" w:rsidR="00C81793" w:rsidRPr="00753AB7" w:rsidRDefault="00B24B63" w:rsidP="0077516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53AB7">
        <w:rPr>
          <w:rFonts w:ascii="Arial" w:hAnsi="Arial" w:cs="Arial"/>
          <w:color w:val="010000"/>
          <w:sz w:val="20"/>
        </w:rPr>
        <w:t>‎‎Article 2. Approve the Report on activities of the Board of Directors in 2023 and the Plan for 2024.</w:t>
      </w:r>
    </w:p>
    <w:p w14:paraId="00000019" w14:textId="77777777" w:rsidR="00C81793" w:rsidRPr="00753AB7" w:rsidRDefault="00B24B63" w:rsidP="0077516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53AB7">
        <w:rPr>
          <w:rFonts w:ascii="Arial" w:hAnsi="Arial" w:cs="Arial"/>
          <w:color w:val="010000"/>
          <w:sz w:val="20"/>
        </w:rPr>
        <w:t>‎‎Article 3. Approve the Report on activities of the Supervisory Board in 2023.</w:t>
      </w:r>
    </w:p>
    <w:p w14:paraId="0000001A" w14:textId="77777777" w:rsidR="00C81793" w:rsidRPr="00753AB7" w:rsidRDefault="00B24B63" w:rsidP="0077516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53AB7">
        <w:rPr>
          <w:rFonts w:ascii="Arial" w:hAnsi="Arial" w:cs="Arial"/>
          <w:color w:val="010000"/>
          <w:sz w:val="20"/>
        </w:rPr>
        <w:t>‎‎Article 4. Approve the Proposal on selecting the audit company for the Financial Statements 2024.</w:t>
      </w:r>
    </w:p>
    <w:p w14:paraId="0000001B" w14:textId="77777777" w:rsidR="00C81793" w:rsidRPr="00753AB7" w:rsidRDefault="00B24B63" w:rsidP="0077516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53AB7">
        <w:rPr>
          <w:rFonts w:ascii="Arial" w:hAnsi="Arial" w:cs="Arial"/>
          <w:color w:val="010000"/>
          <w:sz w:val="20"/>
        </w:rPr>
        <w:t xml:space="preserve">The General Meeting of Shareholders authorizes the Board of Directors to select one of the audit </w:t>
      </w:r>
      <w:r w:rsidRPr="00753AB7">
        <w:rPr>
          <w:rFonts w:ascii="Arial" w:hAnsi="Arial" w:cs="Arial"/>
          <w:color w:val="010000"/>
          <w:sz w:val="20"/>
        </w:rPr>
        <w:lastRenderedPageBreak/>
        <w:t>companies according to the Proposal of the Company’s Supervisory Board to audit the Financial Statements 2024 of the Company.</w:t>
      </w:r>
    </w:p>
    <w:p w14:paraId="0000001C" w14:textId="77777777" w:rsidR="00C81793" w:rsidRPr="00753AB7" w:rsidRDefault="00B24B63" w:rsidP="0077516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53AB7">
        <w:rPr>
          <w:rFonts w:ascii="Arial" w:hAnsi="Arial" w:cs="Arial"/>
          <w:color w:val="010000"/>
          <w:sz w:val="20"/>
        </w:rPr>
        <w:t>‎‎Article 5. Approve the Financial Statements 2023 of the Company audited by Anviet Auditing Company Limited.</w:t>
      </w:r>
    </w:p>
    <w:p w14:paraId="0000001D" w14:textId="77777777" w:rsidR="00C81793" w:rsidRPr="00753AB7" w:rsidRDefault="00B24B63" w:rsidP="0077516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53AB7">
        <w:rPr>
          <w:rFonts w:ascii="Arial" w:hAnsi="Arial" w:cs="Arial"/>
          <w:color w:val="010000"/>
          <w:sz w:val="20"/>
        </w:rPr>
        <w:t>‎‎Article 6. Approve the profit distribution plan in 2023.</w:t>
      </w:r>
    </w:p>
    <w:p w14:paraId="0000001E" w14:textId="77777777" w:rsidR="00C81793" w:rsidRPr="00753AB7" w:rsidRDefault="00B24B63" w:rsidP="0077516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53AB7">
        <w:rPr>
          <w:rFonts w:ascii="Arial" w:hAnsi="Arial" w:cs="Arial"/>
          <w:color w:val="010000"/>
          <w:sz w:val="20"/>
        </w:rPr>
        <w:t>The Meeting has discussed and approved the profit distribution plan in 2023 proposed by the Board of directors as follows:</w:t>
      </w:r>
    </w:p>
    <w:p w14:paraId="0000001F" w14:textId="77777777" w:rsidR="00C81793" w:rsidRPr="00753AB7" w:rsidRDefault="00B24B63" w:rsidP="0077516A">
      <w:pPr>
        <w:numPr>
          <w:ilvl w:val="0"/>
          <w:numId w:val="2"/>
        </w:numPr>
        <w:pBdr>
          <w:top w:val="nil"/>
          <w:left w:val="nil"/>
          <w:bottom w:val="nil"/>
          <w:right w:val="nil"/>
          <w:between w:val="nil"/>
        </w:pBdr>
        <w:tabs>
          <w:tab w:val="left" w:pos="432"/>
          <w:tab w:val="left" w:pos="1080"/>
        </w:tabs>
        <w:spacing w:after="120" w:line="360" w:lineRule="auto"/>
        <w:jc w:val="both"/>
        <w:rPr>
          <w:rFonts w:ascii="Arial" w:eastAsia="Arial" w:hAnsi="Arial" w:cs="Arial"/>
          <w:color w:val="010000"/>
          <w:sz w:val="20"/>
          <w:szCs w:val="20"/>
        </w:rPr>
      </w:pPr>
      <w:r w:rsidRPr="00753AB7">
        <w:rPr>
          <w:rFonts w:ascii="Arial" w:hAnsi="Arial" w:cs="Arial"/>
          <w:color w:val="010000"/>
          <w:sz w:val="20"/>
        </w:rPr>
        <w:t>Realized profit in 2023: VND 39,812,785,479</w:t>
      </w:r>
    </w:p>
    <w:p w14:paraId="00000020" w14:textId="77777777" w:rsidR="00C81793" w:rsidRPr="00753AB7" w:rsidRDefault="00B24B63" w:rsidP="0077516A">
      <w:pPr>
        <w:numPr>
          <w:ilvl w:val="0"/>
          <w:numId w:val="2"/>
        </w:numPr>
        <w:pBdr>
          <w:top w:val="nil"/>
          <w:left w:val="nil"/>
          <w:bottom w:val="nil"/>
          <w:right w:val="nil"/>
          <w:between w:val="nil"/>
        </w:pBdr>
        <w:tabs>
          <w:tab w:val="left" w:pos="432"/>
          <w:tab w:val="left" w:pos="1080"/>
        </w:tabs>
        <w:spacing w:after="120" w:line="360" w:lineRule="auto"/>
        <w:jc w:val="both"/>
        <w:rPr>
          <w:rFonts w:ascii="Arial" w:eastAsia="Arial" w:hAnsi="Arial" w:cs="Arial"/>
          <w:color w:val="010000"/>
          <w:sz w:val="20"/>
          <w:szCs w:val="20"/>
        </w:rPr>
      </w:pPr>
      <w:bookmarkStart w:id="1" w:name="_heading=h.gjdgxs"/>
      <w:bookmarkEnd w:id="1"/>
      <w:r w:rsidRPr="00753AB7">
        <w:rPr>
          <w:rFonts w:ascii="Arial" w:hAnsi="Arial" w:cs="Arial"/>
          <w:color w:val="010000"/>
          <w:sz w:val="20"/>
        </w:rPr>
        <w:t>Corporate income tax: VND 8,082,575,721</w:t>
      </w:r>
    </w:p>
    <w:p w14:paraId="00000021" w14:textId="1D1CDCB3" w:rsidR="00C81793" w:rsidRPr="00753AB7" w:rsidRDefault="00B24B63" w:rsidP="0077516A">
      <w:pPr>
        <w:numPr>
          <w:ilvl w:val="0"/>
          <w:numId w:val="2"/>
        </w:numPr>
        <w:pBdr>
          <w:top w:val="nil"/>
          <w:left w:val="nil"/>
          <w:bottom w:val="nil"/>
          <w:right w:val="nil"/>
          <w:between w:val="nil"/>
        </w:pBdr>
        <w:tabs>
          <w:tab w:val="left" w:pos="432"/>
          <w:tab w:val="left" w:pos="1080"/>
        </w:tabs>
        <w:spacing w:after="120" w:line="360" w:lineRule="auto"/>
        <w:jc w:val="both"/>
        <w:rPr>
          <w:rFonts w:ascii="Arial" w:eastAsia="Arial" w:hAnsi="Arial" w:cs="Arial"/>
          <w:color w:val="010000"/>
          <w:sz w:val="20"/>
          <w:szCs w:val="20"/>
        </w:rPr>
      </w:pPr>
      <w:r w:rsidRPr="00753AB7">
        <w:rPr>
          <w:rFonts w:ascii="Arial" w:hAnsi="Arial" w:cs="Arial"/>
          <w:color w:val="010000"/>
          <w:sz w:val="20"/>
        </w:rPr>
        <w:t>Undistributed profit after tax in 2023: VND 31,730,209,758</w:t>
      </w:r>
    </w:p>
    <w:p w14:paraId="00000022" w14:textId="77777777" w:rsidR="00C81793" w:rsidRPr="00753AB7" w:rsidRDefault="00B24B63" w:rsidP="0077516A">
      <w:pPr>
        <w:numPr>
          <w:ilvl w:val="0"/>
          <w:numId w:val="2"/>
        </w:numPr>
        <w:pBdr>
          <w:top w:val="nil"/>
          <w:left w:val="nil"/>
          <w:bottom w:val="nil"/>
          <w:right w:val="nil"/>
          <w:between w:val="nil"/>
        </w:pBdr>
        <w:tabs>
          <w:tab w:val="left" w:pos="432"/>
          <w:tab w:val="left" w:pos="1080"/>
        </w:tabs>
        <w:spacing w:after="120" w:line="360" w:lineRule="auto"/>
        <w:jc w:val="both"/>
        <w:rPr>
          <w:rFonts w:ascii="Arial" w:eastAsia="Arial" w:hAnsi="Arial" w:cs="Arial"/>
          <w:color w:val="010000"/>
          <w:sz w:val="20"/>
          <w:szCs w:val="20"/>
        </w:rPr>
      </w:pPr>
      <w:r w:rsidRPr="00753AB7">
        <w:rPr>
          <w:rFonts w:ascii="Arial" w:hAnsi="Arial" w:cs="Arial"/>
          <w:color w:val="010000"/>
          <w:sz w:val="20"/>
        </w:rPr>
        <w:t>Profit distribution:</w:t>
      </w:r>
    </w:p>
    <w:p w14:paraId="00000023" w14:textId="2834A558" w:rsidR="00C81793" w:rsidRPr="00753AB7" w:rsidRDefault="00B24B63" w:rsidP="0077516A">
      <w:pPr>
        <w:numPr>
          <w:ilvl w:val="0"/>
          <w:numId w:val="1"/>
        </w:numPr>
        <w:pBdr>
          <w:top w:val="nil"/>
          <w:left w:val="nil"/>
          <w:bottom w:val="nil"/>
          <w:right w:val="nil"/>
          <w:between w:val="nil"/>
        </w:pBdr>
        <w:tabs>
          <w:tab w:val="left" w:pos="432"/>
          <w:tab w:val="left" w:pos="785"/>
        </w:tabs>
        <w:spacing w:after="120" w:line="360" w:lineRule="auto"/>
        <w:jc w:val="both"/>
        <w:rPr>
          <w:rFonts w:ascii="Arial" w:eastAsia="Arial" w:hAnsi="Arial" w:cs="Arial"/>
          <w:color w:val="010000"/>
          <w:sz w:val="20"/>
          <w:szCs w:val="20"/>
        </w:rPr>
      </w:pPr>
      <w:r w:rsidRPr="00753AB7">
        <w:rPr>
          <w:rFonts w:ascii="Arial" w:hAnsi="Arial" w:cs="Arial"/>
          <w:color w:val="010000"/>
          <w:sz w:val="20"/>
        </w:rPr>
        <w:t>Payments to affiliated units: VND 126,000,000</w:t>
      </w:r>
    </w:p>
    <w:p w14:paraId="00000024" w14:textId="55FEE3D8" w:rsidR="00C81793" w:rsidRPr="00753AB7" w:rsidRDefault="00B24B63" w:rsidP="0077516A">
      <w:pPr>
        <w:numPr>
          <w:ilvl w:val="0"/>
          <w:numId w:val="1"/>
        </w:numPr>
        <w:pBdr>
          <w:top w:val="nil"/>
          <w:left w:val="nil"/>
          <w:bottom w:val="nil"/>
          <w:right w:val="nil"/>
          <w:between w:val="nil"/>
        </w:pBdr>
        <w:tabs>
          <w:tab w:val="left" w:pos="432"/>
          <w:tab w:val="left" w:pos="785"/>
        </w:tabs>
        <w:spacing w:after="120" w:line="360" w:lineRule="auto"/>
        <w:jc w:val="both"/>
        <w:rPr>
          <w:rFonts w:ascii="Arial" w:eastAsia="Arial" w:hAnsi="Arial" w:cs="Arial"/>
          <w:color w:val="010000"/>
          <w:sz w:val="20"/>
          <w:szCs w:val="20"/>
        </w:rPr>
      </w:pPr>
      <w:r w:rsidRPr="00753AB7">
        <w:rPr>
          <w:rFonts w:ascii="Arial" w:hAnsi="Arial" w:cs="Arial"/>
          <w:color w:val="010000"/>
          <w:sz w:val="20"/>
        </w:rPr>
        <w:t>Dividend payment (30%/charter capital) VND 21,980,583,000.</w:t>
      </w:r>
    </w:p>
    <w:p w14:paraId="00000025" w14:textId="4064FD2F" w:rsidR="00C81793" w:rsidRPr="00753AB7" w:rsidRDefault="00B24B63" w:rsidP="0077516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53AB7">
        <w:rPr>
          <w:rFonts w:ascii="Arial" w:hAnsi="Arial" w:cs="Arial"/>
          <w:color w:val="010000"/>
          <w:sz w:val="20"/>
        </w:rPr>
        <w:t>Number of treasury shares: 67 shares not entitled to dividends.</w:t>
      </w:r>
    </w:p>
    <w:p w14:paraId="00000026" w14:textId="77777777" w:rsidR="00C81793" w:rsidRPr="00753AB7" w:rsidRDefault="00B24B63" w:rsidP="0077516A">
      <w:pPr>
        <w:numPr>
          <w:ilvl w:val="0"/>
          <w:numId w:val="1"/>
        </w:numPr>
        <w:pBdr>
          <w:top w:val="nil"/>
          <w:left w:val="nil"/>
          <w:bottom w:val="nil"/>
          <w:right w:val="nil"/>
          <w:between w:val="nil"/>
        </w:pBdr>
        <w:tabs>
          <w:tab w:val="left" w:pos="432"/>
          <w:tab w:val="left" w:pos="785"/>
        </w:tabs>
        <w:spacing w:after="120" w:line="360" w:lineRule="auto"/>
        <w:jc w:val="both"/>
        <w:rPr>
          <w:rFonts w:ascii="Arial" w:eastAsia="Arial" w:hAnsi="Arial" w:cs="Arial"/>
          <w:color w:val="010000"/>
          <w:sz w:val="20"/>
          <w:szCs w:val="20"/>
        </w:rPr>
      </w:pPr>
      <w:r w:rsidRPr="00753AB7">
        <w:rPr>
          <w:rFonts w:ascii="Arial" w:hAnsi="Arial" w:cs="Arial"/>
          <w:color w:val="010000"/>
          <w:sz w:val="20"/>
        </w:rPr>
        <w:t>Investment and development fund: VND 2,529,699,633</w:t>
      </w:r>
    </w:p>
    <w:p w14:paraId="00000027" w14:textId="77777777" w:rsidR="00C81793" w:rsidRPr="00753AB7" w:rsidRDefault="00B24B63" w:rsidP="0077516A">
      <w:pPr>
        <w:numPr>
          <w:ilvl w:val="0"/>
          <w:numId w:val="1"/>
        </w:numPr>
        <w:pBdr>
          <w:top w:val="nil"/>
          <w:left w:val="nil"/>
          <w:bottom w:val="nil"/>
          <w:right w:val="nil"/>
          <w:between w:val="nil"/>
        </w:pBdr>
        <w:tabs>
          <w:tab w:val="left" w:pos="432"/>
          <w:tab w:val="left" w:pos="785"/>
        </w:tabs>
        <w:spacing w:after="120" w:line="360" w:lineRule="auto"/>
        <w:jc w:val="both"/>
        <w:rPr>
          <w:rFonts w:ascii="Arial" w:eastAsia="Arial" w:hAnsi="Arial" w:cs="Arial"/>
          <w:color w:val="010000"/>
          <w:sz w:val="20"/>
          <w:szCs w:val="20"/>
        </w:rPr>
      </w:pPr>
      <w:r w:rsidRPr="00753AB7">
        <w:rPr>
          <w:rFonts w:ascii="Arial" w:hAnsi="Arial" w:cs="Arial"/>
          <w:color w:val="010000"/>
          <w:sz w:val="20"/>
        </w:rPr>
        <w:t>Appropriation for bonus and welfare fund: VND 2,000,000,000</w:t>
      </w:r>
    </w:p>
    <w:p w14:paraId="00000028" w14:textId="77777777" w:rsidR="00C81793" w:rsidRPr="00753AB7" w:rsidRDefault="00B24B63" w:rsidP="0077516A">
      <w:pPr>
        <w:numPr>
          <w:ilvl w:val="0"/>
          <w:numId w:val="1"/>
        </w:numPr>
        <w:pBdr>
          <w:top w:val="nil"/>
          <w:left w:val="nil"/>
          <w:bottom w:val="nil"/>
          <w:right w:val="nil"/>
          <w:between w:val="nil"/>
        </w:pBdr>
        <w:tabs>
          <w:tab w:val="left" w:pos="432"/>
          <w:tab w:val="left" w:pos="785"/>
        </w:tabs>
        <w:spacing w:after="120" w:line="360" w:lineRule="auto"/>
        <w:jc w:val="both"/>
        <w:rPr>
          <w:rFonts w:ascii="Arial" w:eastAsia="Arial" w:hAnsi="Arial" w:cs="Arial"/>
          <w:color w:val="010000"/>
          <w:sz w:val="20"/>
          <w:szCs w:val="20"/>
        </w:rPr>
      </w:pPr>
      <w:r w:rsidRPr="00753AB7">
        <w:rPr>
          <w:rFonts w:ascii="Arial" w:hAnsi="Arial" w:cs="Arial"/>
          <w:color w:val="010000"/>
          <w:sz w:val="20"/>
        </w:rPr>
        <w:t>Bonus fund for the Executive Management Board of the Company. VND 812,114,000</w:t>
      </w:r>
    </w:p>
    <w:p w14:paraId="00000029" w14:textId="736B9081" w:rsidR="00C81793" w:rsidRPr="00753AB7" w:rsidRDefault="00B24B63" w:rsidP="0077516A">
      <w:pPr>
        <w:numPr>
          <w:ilvl w:val="0"/>
          <w:numId w:val="1"/>
        </w:numPr>
        <w:pBdr>
          <w:top w:val="nil"/>
          <w:left w:val="nil"/>
          <w:bottom w:val="nil"/>
          <w:right w:val="nil"/>
          <w:between w:val="nil"/>
        </w:pBdr>
        <w:tabs>
          <w:tab w:val="left" w:pos="432"/>
          <w:tab w:val="left" w:pos="785"/>
        </w:tabs>
        <w:spacing w:after="120" w:line="360" w:lineRule="auto"/>
        <w:jc w:val="both"/>
        <w:rPr>
          <w:rFonts w:ascii="Arial" w:eastAsia="Arial" w:hAnsi="Arial" w:cs="Arial"/>
          <w:color w:val="010000"/>
          <w:sz w:val="20"/>
          <w:szCs w:val="20"/>
        </w:rPr>
      </w:pPr>
      <w:r w:rsidRPr="00753AB7">
        <w:rPr>
          <w:rFonts w:ascii="Arial" w:hAnsi="Arial" w:cs="Arial"/>
          <w:color w:val="010000"/>
          <w:sz w:val="20"/>
        </w:rPr>
        <w:t>Undistributed profit after tax</w:t>
      </w:r>
      <w:r w:rsidR="00753AB7" w:rsidRPr="00753AB7">
        <w:rPr>
          <w:rFonts w:ascii="Arial" w:hAnsi="Arial" w:cs="Arial"/>
          <w:color w:val="010000"/>
          <w:sz w:val="20"/>
        </w:rPr>
        <w:t xml:space="preserve"> transferred</w:t>
      </w:r>
      <w:r w:rsidRPr="00753AB7">
        <w:rPr>
          <w:rFonts w:ascii="Arial" w:hAnsi="Arial" w:cs="Arial"/>
          <w:color w:val="010000"/>
          <w:sz w:val="20"/>
        </w:rPr>
        <w:t xml:space="preserve"> to the following year: VND 4,281,813,125</w:t>
      </w:r>
    </w:p>
    <w:p w14:paraId="0000002A" w14:textId="77777777" w:rsidR="00C81793" w:rsidRPr="00753AB7" w:rsidRDefault="00B24B63" w:rsidP="0077516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53AB7">
        <w:rPr>
          <w:rFonts w:ascii="Arial" w:hAnsi="Arial" w:cs="Arial"/>
          <w:color w:val="010000"/>
          <w:sz w:val="20"/>
        </w:rPr>
        <w:t>‎‎Article 7. Approve the Proposal on the settlement of salary fund, remuneration, and bonus for the Board of Directors and the Supervisory Board in 2023 and the Plan for 2024;</w:t>
      </w:r>
    </w:p>
    <w:p w14:paraId="0000002B" w14:textId="77777777" w:rsidR="00C81793" w:rsidRPr="00753AB7" w:rsidRDefault="00B24B63" w:rsidP="0077516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53AB7">
        <w:rPr>
          <w:rFonts w:ascii="Arial" w:hAnsi="Arial" w:cs="Arial"/>
          <w:color w:val="010000"/>
          <w:sz w:val="20"/>
        </w:rPr>
        <w:t>‎‎Article 8. The Meeting assigns the Board of Directors and the Supervisory Board to based on the General Mandate, develop specific work and organize the implementation approved by the Annual General Meeting of Shareholders 2024, ensure the interests of shareholders and businesses, and comply with the provisions of law.</w:t>
      </w:r>
    </w:p>
    <w:p w14:paraId="0000002C" w14:textId="77777777" w:rsidR="00C81793" w:rsidRPr="00753AB7" w:rsidRDefault="00B24B63" w:rsidP="0077516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53AB7">
        <w:rPr>
          <w:rFonts w:ascii="Arial" w:hAnsi="Arial" w:cs="Arial"/>
          <w:color w:val="010000"/>
          <w:sz w:val="20"/>
        </w:rPr>
        <w:t>‎‎Article 9. Terms of enforcement</w:t>
      </w:r>
    </w:p>
    <w:p w14:paraId="0000002D" w14:textId="0CE0089F" w:rsidR="00C81793" w:rsidRPr="00753AB7" w:rsidRDefault="00B24B63" w:rsidP="0077516A">
      <w:pPr>
        <w:numPr>
          <w:ilvl w:val="0"/>
          <w:numId w:val="1"/>
        </w:numPr>
        <w:pBdr>
          <w:top w:val="nil"/>
          <w:left w:val="nil"/>
          <w:bottom w:val="nil"/>
          <w:right w:val="nil"/>
          <w:between w:val="nil"/>
        </w:pBdr>
        <w:tabs>
          <w:tab w:val="left" w:pos="432"/>
          <w:tab w:val="left" w:pos="785"/>
        </w:tabs>
        <w:spacing w:after="120" w:line="360" w:lineRule="auto"/>
        <w:jc w:val="both"/>
        <w:rPr>
          <w:rFonts w:ascii="Arial" w:eastAsia="Arial" w:hAnsi="Arial" w:cs="Arial"/>
          <w:color w:val="010000"/>
          <w:sz w:val="20"/>
          <w:szCs w:val="20"/>
        </w:rPr>
      </w:pPr>
      <w:r w:rsidRPr="00753AB7">
        <w:rPr>
          <w:rFonts w:ascii="Arial" w:hAnsi="Arial" w:cs="Arial"/>
          <w:color w:val="010000"/>
          <w:sz w:val="20"/>
        </w:rPr>
        <w:t xml:space="preserve">The </w:t>
      </w:r>
      <w:r w:rsidR="00753AB7" w:rsidRPr="00753AB7">
        <w:rPr>
          <w:rFonts w:ascii="Arial" w:hAnsi="Arial" w:cs="Arial"/>
          <w:color w:val="010000"/>
          <w:sz w:val="20"/>
        </w:rPr>
        <w:t>General Mandate</w:t>
      </w:r>
      <w:r w:rsidRPr="00753AB7">
        <w:rPr>
          <w:rFonts w:ascii="Arial" w:hAnsi="Arial" w:cs="Arial"/>
          <w:color w:val="010000"/>
          <w:sz w:val="20"/>
        </w:rPr>
        <w:t xml:space="preserve"> takes effect from the date of its signing.</w:t>
      </w:r>
    </w:p>
    <w:p w14:paraId="0000002E" w14:textId="77777777" w:rsidR="00C81793" w:rsidRPr="00753AB7" w:rsidRDefault="00B24B63" w:rsidP="0077516A">
      <w:pPr>
        <w:numPr>
          <w:ilvl w:val="0"/>
          <w:numId w:val="1"/>
        </w:numPr>
        <w:pBdr>
          <w:top w:val="nil"/>
          <w:left w:val="nil"/>
          <w:bottom w:val="nil"/>
          <w:right w:val="nil"/>
          <w:between w:val="nil"/>
        </w:pBdr>
        <w:tabs>
          <w:tab w:val="left" w:pos="432"/>
          <w:tab w:val="left" w:pos="801"/>
        </w:tabs>
        <w:spacing w:after="120" w:line="360" w:lineRule="auto"/>
        <w:jc w:val="both"/>
        <w:rPr>
          <w:rFonts w:ascii="Arial" w:eastAsia="Arial" w:hAnsi="Arial" w:cs="Arial"/>
          <w:color w:val="010000"/>
          <w:sz w:val="20"/>
          <w:szCs w:val="20"/>
        </w:rPr>
      </w:pPr>
      <w:r w:rsidRPr="00753AB7">
        <w:rPr>
          <w:rFonts w:ascii="Arial" w:hAnsi="Arial" w:cs="Arial"/>
          <w:color w:val="010000"/>
          <w:sz w:val="20"/>
        </w:rPr>
        <w:t xml:space="preserve">This General Mandate was read and approved at the Annual General Meeting of Shareholders 2024 on April 17, 2024. </w:t>
      </w:r>
      <w:bookmarkEnd w:id="0"/>
    </w:p>
    <w:sectPr w:rsidR="00C81793" w:rsidRPr="00753AB7" w:rsidSect="00753AB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64D55"/>
    <w:multiLevelType w:val="multilevel"/>
    <w:tmpl w:val="E920373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17A4172"/>
    <w:multiLevelType w:val="multilevel"/>
    <w:tmpl w:val="DD8A901C"/>
    <w:lvl w:ilvl="0">
      <w:start w:val="1"/>
      <w:numFmt w:val="bullet"/>
      <w:lvlText w:val="+"/>
      <w:lvlJc w:val="left"/>
      <w:pPr>
        <w:ind w:left="1080" w:hanging="360"/>
      </w:pPr>
      <w:rPr>
        <w:rFonts w:ascii="Noto Sans Symbols" w:eastAsia="Noto Sans Symbols" w:hAnsi="Noto Sans Symbols" w:cs="Noto Sans Symbols"/>
        <w:b w:val="0"/>
        <w:i w:val="0"/>
        <w:sz w:val="20"/>
        <w:szCs w:val="20"/>
        <w:u w:val="none"/>
      </w:rPr>
    </w:lvl>
    <w:lvl w:ilvl="1">
      <w:start w:val="1"/>
      <w:numFmt w:val="bullet"/>
      <w:lvlText w:val="o"/>
      <w:lvlJc w:val="left"/>
      <w:pPr>
        <w:ind w:left="1800" w:hanging="360"/>
      </w:pPr>
      <w:rPr>
        <w:rFonts w:ascii="Arial" w:eastAsia="Arial" w:hAnsi="Arial" w:cs="Arial"/>
        <w:b w:val="0"/>
        <w:i w:val="0"/>
        <w:sz w:val="20"/>
        <w:szCs w:val="20"/>
      </w:rPr>
    </w:lvl>
    <w:lvl w:ilvl="2">
      <w:start w:val="1"/>
      <w:numFmt w:val="bullet"/>
      <w:lvlText w:val=""/>
      <w:lvlJc w:val="left"/>
      <w:pPr>
        <w:ind w:left="2520" w:hanging="360"/>
      </w:pPr>
      <w:rPr>
        <w:rFonts w:ascii="Arial" w:eastAsia="Arial" w:hAnsi="Arial" w:cs="Arial"/>
        <w:b w:val="0"/>
        <w:i w:val="0"/>
        <w:sz w:val="20"/>
        <w:szCs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4A5574DF"/>
    <w:multiLevelType w:val="multilevel"/>
    <w:tmpl w:val="C9183890"/>
    <w:lvl w:ilvl="0">
      <w:start w:val="1"/>
      <w:numFmt w:val="bullet"/>
      <w:lvlText w:val="-"/>
      <w:lvlJc w:val="left"/>
      <w:pPr>
        <w:ind w:left="0" w:firstLine="0"/>
      </w:pPr>
      <w:rPr>
        <w:rFonts w:ascii="Arial" w:eastAsia="Arial" w:hAnsi="Arial" w:cs="Arial"/>
        <w:b w:val="0"/>
        <w:i w:val="0"/>
        <w:smallCaps w:val="0"/>
        <w:strike w:val="0"/>
        <w:color w:val="29292B"/>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69390301"/>
    <w:multiLevelType w:val="multilevel"/>
    <w:tmpl w:val="BE4632A6"/>
    <w:lvl w:ilvl="0">
      <w:start w:val="1"/>
      <w:numFmt w:val="decimal"/>
      <w:lvlText w:val="6.%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761F57BE"/>
    <w:multiLevelType w:val="multilevel"/>
    <w:tmpl w:val="CE029CFA"/>
    <w:lvl w:ilvl="0">
      <w:start w:val="1"/>
      <w:numFmt w:val="decimal"/>
      <w:lvlText w:val="1.%1."/>
      <w:lvlJc w:val="left"/>
      <w:pPr>
        <w:ind w:left="0" w:firstLine="0"/>
      </w:pPr>
      <w:rPr>
        <w:rFonts w:ascii="Arial" w:eastAsia="Arial" w:hAnsi="Arial" w:cs="Arial"/>
        <w:b w:val="0"/>
        <w:i w:val="0"/>
        <w:smallCaps w:val="0"/>
        <w:strike w:val="0"/>
        <w:color w:val="29292B"/>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793"/>
    <w:rsid w:val="00753AB7"/>
    <w:rsid w:val="0077516A"/>
    <w:rsid w:val="00B24B63"/>
    <w:rsid w:val="00C81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B14A10"/>
  <w15:docId w15:val="{475C7AFE-133E-45DE-923D-7E5B7F2CD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color w:val="29292B"/>
      <w:sz w:val="20"/>
      <w:szCs w:val="2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0000FF"/>
      <w:sz w:val="18"/>
      <w:szCs w:val="18"/>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DB3F60"/>
      <w:sz w:val="20"/>
      <w:szCs w:val="20"/>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color w:val="29292B"/>
      <w:sz w:val="15"/>
      <w:szCs w:val="15"/>
      <w:u w:val="none"/>
      <w:shd w:val="clear" w:color="auto" w:fill="auto"/>
    </w:rPr>
  </w:style>
  <w:style w:type="paragraph" w:customStyle="1" w:styleId="Bodytext20">
    <w:name w:val="Body text (2)"/>
    <w:basedOn w:val="Normal"/>
    <w:link w:val="Bodytext2"/>
    <w:rPr>
      <w:rFonts w:ascii="Times New Roman" w:eastAsia="Times New Roman" w:hAnsi="Times New Roman" w:cs="Times New Roman"/>
      <w:b/>
      <w:bCs/>
      <w:color w:val="29292B"/>
      <w:sz w:val="20"/>
      <w:szCs w:val="20"/>
    </w:rPr>
  </w:style>
  <w:style w:type="paragraph" w:styleId="BodyText">
    <w:name w:val="Body Text"/>
    <w:basedOn w:val="Normal"/>
    <w:link w:val="BodyTextChar"/>
    <w:qFormat/>
    <w:pPr>
      <w:ind w:firstLine="400"/>
    </w:pPr>
    <w:rPr>
      <w:rFonts w:ascii="Times New Roman" w:eastAsia="Times New Roman" w:hAnsi="Times New Roman" w:cs="Times New Roman"/>
      <w:sz w:val="26"/>
      <w:szCs w:val="26"/>
    </w:rPr>
  </w:style>
  <w:style w:type="paragraph" w:customStyle="1" w:styleId="Bodytext40">
    <w:name w:val="Body text (4)"/>
    <w:basedOn w:val="Normal"/>
    <w:link w:val="Bodytext4"/>
    <w:rPr>
      <w:rFonts w:ascii="Times New Roman" w:eastAsia="Times New Roman" w:hAnsi="Times New Roman" w:cs="Times New Roman"/>
      <w:color w:val="0000FF"/>
      <w:sz w:val="18"/>
      <w:szCs w:val="18"/>
    </w:rPr>
  </w:style>
  <w:style w:type="paragraph" w:customStyle="1" w:styleId="Bodytext30">
    <w:name w:val="Body text (3)"/>
    <w:basedOn w:val="Normal"/>
    <w:link w:val="Bodytext3"/>
    <w:pPr>
      <w:spacing w:line="230" w:lineRule="auto"/>
      <w:jc w:val="center"/>
    </w:pPr>
    <w:rPr>
      <w:rFonts w:ascii="Arial" w:eastAsia="Arial" w:hAnsi="Arial" w:cs="Arial"/>
      <w:b/>
      <w:bCs/>
      <w:color w:val="DB3F60"/>
      <w:sz w:val="20"/>
      <w:szCs w:val="20"/>
    </w:rPr>
  </w:style>
  <w:style w:type="paragraph" w:customStyle="1" w:styleId="Bodytext50">
    <w:name w:val="Body text (5)"/>
    <w:basedOn w:val="Normal"/>
    <w:link w:val="Bodytext5"/>
    <w:pPr>
      <w:jc w:val="right"/>
    </w:pPr>
    <w:rPr>
      <w:rFonts w:ascii="Times New Roman" w:eastAsia="Times New Roman" w:hAnsi="Times New Roman" w:cs="Times New Roman"/>
      <w:b/>
      <w:bCs/>
      <w:color w:val="29292B"/>
      <w:sz w:val="15"/>
      <w:szCs w:val="15"/>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D7w3q1q3+hB0jcP2gVTsOhlaNQ==">CgMxLjAyCGguZ2pkZ3hzOAByITFxNkJkbndkRnNlZWdHdW1rdFpMTDlxRW9kVGY0eDZIOA==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522</Words>
  <Characters>2981</Characters>
  <Application>Microsoft Office Word</Application>
  <DocSecurity>0</DocSecurity>
  <Lines>24</Lines>
  <Paragraphs>6</Paragraphs>
  <ScaleCrop>false</ScaleCrop>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2024-04-29T09:25:00Z</dcterms:created>
  <dcterms:modified xsi:type="dcterms:W3CDTF">2024-05-03T03:55:00Z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55ca6d479d9d51fb606b5a3094a01480b78683e13837162408b9ad15dcbe87f6</vt:lpwstr>
  </property>
</Properties>
</file>