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09F5" w:rsidRPr="00881E1C" w:rsidRDefault="00C253BA" w:rsidP="00B942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881E1C">
        <w:rPr>
          <w:rFonts w:ascii="Arial" w:hAnsi="Arial"/>
          <w:b/>
          <w:color w:val="auto"/>
          <w:sz w:val="20"/>
        </w:rPr>
        <w:t>PMB: Annual General Mandate 2024</w:t>
      </w:r>
    </w:p>
    <w:p w14:paraId="00000002" w14:textId="77777777" w:rsidR="003809F5" w:rsidRPr="00881E1C" w:rsidRDefault="00C253BA" w:rsidP="00B9429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On April 22, 2024 North Petro Vietnam Fertilizer &amp; Chemicals Joint Stock Company announced General Mandate No. 37/NQ-DHDCD as follows:</w:t>
      </w:r>
    </w:p>
    <w:p w14:paraId="00000003" w14:textId="77777777" w:rsidR="003809F5" w:rsidRPr="00881E1C" w:rsidRDefault="00C253BA" w:rsidP="00B942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Article 1: Approve the contents of the Report, Propo</w:t>
      </w:r>
      <w:bookmarkStart w:id="0" w:name="_GoBack"/>
      <w:bookmarkEnd w:id="0"/>
      <w:r w:rsidRPr="00881E1C">
        <w:rPr>
          <w:rFonts w:ascii="Arial" w:hAnsi="Arial"/>
          <w:color w:val="auto"/>
          <w:sz w:val="20"/>
        </w:rPr>
        <w:t xml:space="preserve">sal with the following specific contents as follows: </w:t>
      </w:r>
    </w:p>
    <w:p w14:paraId="00000004" w14:textId="372A9654" w:rsidR="003809F5" w:rsidRPr="00881E1C" w:rsidRDefault="00C253BA" w:rsidP="00B942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 Approve the adjustment </w:t>
      </w:r>
      <w:r w:rsidR="00881E1C" w:rsidRPr="00881E1C">
        <w:rPr>
          <w:rFonts w:ascii="Arial" w:hAnsi="Arial"/>
          <w:color w:val="auto"/>
          <w:sz w:val="20"/>
        </w:rPr>
        <w:t>to</w:t>
      </w:r>
      <w:r w:rsidRPr="00881E1C">
        <w:rPr>
          <w:rFonts w:ascii="Arial" w:hAnsi="Arial"/>
          <w:color w:val="auto"/>
          <w:sz w:val="20"/>
        </w:rPr>
        <w:t xml:space="preserve"> main </w:t>
      </w:r>
      <w:r w:rsidR="00881E1C" w:rsidRPr="00881E1C">
        <w:rPr>
          <w:rFonts w:ascii="Arial" w:hAnsi="Arial"/>
          <w:color w:val="auto"/>
          <w:sz w:val="20"/>
        </w:rPr>
        <w:t xml:space="preserve">targets of the </w:t>
      </w:r>
      <w:r w:rsidRPr="00881E1C">
        <w:rPr>
          <w:rFonts w:ascii="Arial" w:hAnsi="Arial"/>
          <w:color w:val="auto"/>
          <w:sz w:val="20"/>
        </w:rPr>
        <w:t>production and business plan 2023.</w:t>
      </w:r>
    </w:p>
    <w:p w14:paraId="00000005" w14:textId="77777777" w:rsidR="003809F5" w:rsidRPr="00881E1C" w:rsidRDefault="00C253BA" w:rsidP="00B942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3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Total consumption: 212,127 tons</w:t>
      </w:r>
    </w:p>
    <w:p w14:paraId="00000006" w14:textId="77777777" w:rsidR="003809F5" w:rsidRPr="00881E1C" w:rsidRDefault="00C253BA" w:rsidP="00B942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1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Total revenue: VND 2,083.59 billion</w:t>
      </w:r>
    </w:p>
    <w:p w14:paraId="00000007" w14:textId="77777777" w:rsidR="003809F5" w:rsidRPr="00881E1C" w:rsidRDefault="00C253BA" w:rsidP="00B942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Profit before tax: VND 10.16 billion</w:t>
      </w:r>
    </w:p>
    <w:p w14:paraId="00000008" w14:textId="77777777" w:rsidR="003809F5" w:rsidRPr="00881E1C" w:rsidRDefault="00C253BA" w:rsidP="00B942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Profit after tax: VND 6.24 billion</w:t>
      </w:r>
    </w:p>
    <w:p w14:paraId="00000009" w14:textId="75D00B29" w:rsidR="003809F5" w:rsidRPr="00881E1C" w:rsidRDefault="00881E1C" w:rsidP="00B942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Rate of </w:t>
      </w:r>
      <w:r w:rsidR="00C253BA" w:rsidRPr="00881E1C">
        <w:rPr>
          <w:rFonts w:ascii="Arial" w:hAnsi="Arial"/>
          <w:color w:val="auto"/>
          <w:sz w:val="20"/>
        </w:rPr>
        <w:t>Dividend payment/Charter capita</w:t>
      </w:r>
      <w:r w:rsidRPr="00881E1C">
        <w:rPr>
          <w:rFonts w:ascii="Arial" w:hAnsi="Arial"/>
          <w:color w:val="auto"/>
          <w:sz w:val="20"/>
        </w:rPr>
        <w:t>l</w:t>
      </w:r>
      <w:r w:rsidR="00C253BA" w:rsidRPr="00881E1C">
        <w:rPr>
          <w:rFonts w:ascii="Arial" w:hAnsi="Arial"/>
          <w:color w:val="auto"/>
          <w:sz w:val="20"/>
        </w:rPr>
        <w:t>: 8%</w:t>
      </w:r>
    </w:p>
    <w:p w14:paraId="0000000A" w14:textId="7168BE15" w:rsidR="003809F5" w:rsidRPr="00881E1C" w:rsidRDefault="00C253BA" w:rsidP="00B942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Approve the authorization for the Board of Directors to review and decide on the adjustment </w:t>
      </w:r>
      <w:r w:rsidR="00881E1C" w:rsidRPr="00881E1C">
        <w:rPr>
          <w:rFonts w:ascii="Arial" w:hAnsi="Arial"/>
          <w:color w:val="auto"/>
          <w:sz w:val="20"/>
        </w:rPr>
        <w:t>to</w:t>
      </w:r>
      <w:r w:rsidRPr="00881E1C">
        <w:rPr>
          <w:rFonts w:ascii="Arial" w:hAnsi="Arial"/>
          <w:color w:val="auto"/>
          <w:sz w:val="20"/>
        </w:rPr>
        <w:t xml:space="preserve"> the business plan 2024.</w:t>
      </w:r>
    </w:p>
    <w:p w14:paraId="0000000B" w14:textId="0E7117A9" w:rsidR="003809F5" w:rsidRPr="00881E1C" w:rsidRDefault="00C253BA" w:rsidP="00B942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 Approve the </w:t>
      </w:r>
      <w:r w:rsidR="00881E1C" w:rsidRPr="00881E1C">
        <w:rPr>
          <w:rFonts w:ascii="Arial" w:hAnsi="Arial"/>
          <w:color w:val="auto"/>
          <w:sz w:val="20"/>
        </w:rPr>
        <w:t>Report on business results in</w:t>
      </w:r>
      <w:r w:rsidRPr="00881E1C">
        <w:rPr>
          <w:rFonts w:ascii="Arial" w:hAnsi="Arial"/>
          <w:color w:val="auto"/>
          <w:sz w:val="20"/>
        </w:rPr>
        <w:t xml:space="preserve"> 2023 with the main targets:</w:t>
      </w:r>
    </w:p>
    <w:p w14:paraId="0000000C" w14:textId="18C39DBA" w:rsidR="003809F5" w:rsidRPr="00881E1C" w:rsidRDefault="00881E1C" w:rsidP="00B942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Targets of b</w:t>
      </w:r>
      <w:r w:rsidR="00C253BA" w:rsidRPr="00881E1C">
        <w:rPr>
          <w:rFonts w:ascii="Arial" w:hAnsi="Arial"/>
          <w:color w:val="auto"/>
          <w:sz w:val="20"/>
        </w:rPr>
        <w:t>usiness output:</w:t>
      </w:r>
    </w:p>
    <w:p w14:paraId="0000000D" w14:textId="77777777" w:rsidR="003809F5" w:rsidRPr="00881E1C" w:rsidRDefault="00C253BA" w:rsidP="00B942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Total consumption: 216,818 tons</w:t>
      </w:r>
    </w:p>
    <w:p w14:paraId="0000000E" w14:textId="77777777" w:rsidR="003809F5" w:rsidRPr="00881E1C" w:rsidRDefault="00C253BA" w:rsidP="00B942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Financial targets:</w:t>
      </w:r>
    </w:p>
    <w:p w14:paraId="0000000F" w14:textId="77777777" w:rsidR="003809F5" w:rsidRPr="00881E1C" w:rsidRDefault="00C253BA" w:rsidP="00B942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Total revenue: VND 2,153.30 billion</w:t>
      </w:r>
    </w:p>
    <w:p w14:paraId="00000010" w14:textId="77777777" w:rsidR="003809F5" w:rsidRPr="00881E1C" w:rsidRDefault="00C253BA" w:rsidP="00B942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Profit before tax: VND 10.35 billion</w:t>
      </w:r>
    </w:p>
    <w:p w14:paraId="00000011" w14:textId="77777777" w:rsidR="003809F5" w:rsidRPr="00881E1C" w:rsidRDefault="00C253BA" w:rsidP="00B942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Profit after tax: VND 6.33 billion</w:t>
      </w:r>
    </w:p>
    <w:p w14:paraId="00000012" w14:textId="27621713" w:rsidR="003809F5" w:rsidRPr="00881E1C" w:rsidRDefault="00881E1C" w:rsidP="00B942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Rate of </w:t>
      </w:r>
      <w:r w:rsidR="00C253BA" w:rsidRPr="00881E1C">
        <w:rPr>
          <w:rFonts w:ascii="Arial" w:hAnsi="Arial"/>
          <w:color w:val="auto"/>
          <w:sz w:val="20"/>
        </w:rPr>
        <w:t>Dividend payment/</w:t>
      </w:r>
      <w:r w:rsidRPr="00881E1C">
        <w:rPr>
          <w:rFonts w:ascii="Arial" w:hAnsi="Arial"/>
          <w:color w:val="auto"/>
          <w:sz w:val="20"/>
        </w:rPr>
        <w:t>C</w:t>
      </w:r>
      <w:r w:rsidR="00C253BA" w:rsidRPr="00881E1C">
        <w:rPr>
          <w:rFonts w:ascii="Arial" w:hAnsi="Arial"/>
          <w:color w:val="auto"/>
          <w:sz w:val="20"/>
        </w:rPr>
        <w:t>harter capital: 8%</w:t>
      </w:r>
    </w:p>
    <w:p w14:paraId="00000013" w14:textId="791BF7C9" w:rsidR="003809F5" w:rsidRPr="00881E1C" w:rsidRDefault="00C253BA" w:rsidP="00B942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Approve main targets of the business plan 2024:</w:t>
      </w:r>
    </w:p>
    <w:p w14:paraId="00000014" w14:textId="77777777" w:rsidR="003809F5" w:rsidRPr="00881E1C" w:rsidRDefault="00C253BA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Total consumption: 213,000 tons</w:t>
      </w:r>
    </w:p>
    <w:p w14:paraId="00000015" w14:textId="77777777" w:rsidR="003809F5" w:rsidRPr="00881E1C" w:rsidRDefault="00C253BA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Total revenue: VND 1,998.62 billion</w:t>
      </w:r>
    </w:p>
    <w:p w14:paraId="00000016" w14:textId="77777777" w:rsidR="003809F5" w:rsidRPr="00881E1C" w:rsidRDefault="00C253BA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Profit before tax: VND 11.2 billion</w:t>
      </w:r>
    </w:p>
    <w:p w14:paraId="00000017" w14:textId="77777777" w:rsidR="003809F5" w:rsidRPr="00881E1C" w:rsidRDefault="00C253BA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Profit after tax: VND 8.96 billion</w:t>
      </w:r>
    </w:p>
    <w:p w14:paraId="00000018" w14:textId="2617764F" w:rsidR="003809F5" w:rsidRPr="00881E1C" w:rsidRDefault="00881E1C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Rate of Dividend payment/Charter capital: </w:t>
      </w:r>
      <w:r w:rsidR="00C253BA" w:rsidRPr="00881E1C">
        <w:rPr>
          <w:rFonts w:ascii="Arial" w:hAnsi="Arial"/>
          <w:color w:val="auto"/>
          <w:sz w:val="20"/>
        </w:rPr>
        <w:t>7%</w:t>
      </w:r>
    </w:p>
    <w:p w14:paraId="00000019" w14:textId="29B3ED27" w:rsidR="003809F5" w:rsidRPr="00881E1C" w:rsidRDefault="00C253BA" w:rsidP="00B942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Approve the Report on activities of the Board of Directors in 2023, and </w:t>
      </w:r>
      <w:r w:rsidR="00881E1C" w:rsidRPr="00881E1C">
        <w:rPr>
          <w:rFonts w:ascii="Arial" w:hAnsi="Arial"/>
          <w:color w:val="auto"/>
          <w:sz w:val="20"/>
        </w:rPr>
        <w:t>operational</w:t>
      </w:r>
      <w:r w:rsidRPr="00881E1C">
        <w:rPr>
          <w:rFonts w:ascii="Arial" w:hAnsi="Arial"/>
          <w:color w:val="auto"/>
          <w:sz w:val="20"/>
        </w:rPr>
        <w:t xml:space="preserve"> plan 2024</w:t>
      </w:r>
    </w:p>
    <w:p w14:paraId="0000001A" w14:textId="0819CDF6" w:rsidR="003809F5" w:rsidRPr="00881E1C" w:rsidRDefault="00C253BA" w:rsidP="00B942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Approve the Financial Statements 2023 audited by Deloitte Vietnam Audit Company Limited and the plan on profit distribution </w:t>
      </w:r>
      <w:r w:rsidR="00881E1C" w:rsidRPr="00881E1C">
        <w:rPr>
          <w:rFonts w:ascii="Arial" w:hAnsi="Arial"/>
          <w:color w:val="auto"/>
          <w:sz w:val="20"/>
        </w:rPr>
        <w:t xml:space="preserve">in </w:t>
      </w:r>
      <w:r w:rsidRPr="00881E1C">
        <w:rPr>
          <w:rFonts w:ascii="Arial" w:hAnsi="Arial"/>
          <w:color w:val="auto"/>
          <w:sz w:val="20"/>
        </w:rPr>
        <w:t>2023.</w:t>
      </w:r>
    </w:p>
    <w:p w14:paraId="0000001B" w14:textId="5F4B994B" w:rsidR="003809F5" w:rsidRPr="00881E1C" w:rsidRDefault="00C253BA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34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Appropriation for bonus and welfare fund (20% of profit after tax): VND 1,265,617,863</w:t>
      </w:r>
    </w:p>
    <w:p w14:paraId="0000001C" w14:textId="67DB0241" w:rsidR="003809F5" w:rsidRPr="00881E1C" w:rsidRDefault="00C253BA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34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Appropriation for </w:t>
      </w:r>
      <w:r w:rsidR="00881E1C" w:rsidRPr="00881E1C">
        <w:rPr>
          <w:rFonts w:ascii="Arial" w:hAnsi="Arial"/>
          <w:color w:val="auto"/>
          <w:sz w:val="20"/>
        </w:rPr>
        <w:t xml:space="preserve">supplementing </w:t>
      </w:r>
      <w:r w:rsidRPr="00881E1C">
        <w:rPr>
          <w:rFonts w:ascii="Arial" w:hAnsi="Arial"/>
          <w:color w:val="auto"/>
          <w:sz w:val="20"/>
        </w:rPr>
        <w:t xml:space="preserve">bonus and welfare fund (20% of profit after tax exceeded the plan): </w:t>
      </w:r>
      <w:r w:rsidRPr="00881E1C">
        <w:rPr>
          <w:rFonts w:ascii="Arial" w:hAnsi="Arial"/>
          <w:color w:val="auto"/>
          <w:sz w:val="20"/>
        </w:rPr>
        <w:lastRenderedPageBreak/>
        <w:t>VND 16,958,377</w:t>
      </w:r>
    </w:p>
    <w:p w14:paraId="0000001D" w14:textId="77777777" w:rsidR="003809F5" w:rsidRPr="00881E1C" w:rsidRDefault="00C253BA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34"/>
          <w:tab w:val="left" w:pos="5682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Dividend payment in cash (8%/Charter capital): VND 9,600,000,000</w:t>
      </w:r>
    </w:p>
    <w:p w14:paraId="0000001E" w14:textId="57F26D66" w:rsidR="003809F5" w:rsidRPr="00881E1C" w:rsidRDefault="00C253BA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34"/>
          <w:tab w:val="left" w:pos="5682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Profit transferred to 2024</w:t>
      </w:r>
      <w:r w:rsidR="00881E1C" w:rsidRPr="00881E1C">
        <w:rPr>
          <w:rFonts w:ascii="Arial" w:hAnsi="Arial"/>
          <w:color w:val="auto"/>
          <w:sz w:val="20"/>
        </w:rPr>
        <w:t>:</w:t>
      </w:r>
      <w:r w:rsidRPr="00881E1C">
        <w:rPr>
          <w:rFonts w:ascii="Arial" w:hAnsi="Arial"/>
          <w:color w:val="auto"/>
          <w:sz w:val="20"/>
        </w:rPr>
        <w:t xml:space="preserve"> VND 4,664,135,262</w:t>
      </w:r>
    </w:p>
    <w:p w14:paraId="0000001F" w14:textId="0A5CE95F" w:rsidR="003809F5" w:rsidRPr="00881E1C" w:rsidRDefault="00C253BA" w:rsidP="00B94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Approve the Plan on profit distribution </w:t>
      </w:r>
      <w:r w:rsidR="00881E1C" w:rsidRPr="00881E1C">
        <w:rPr>
          <w:rFonts w:ascii="Arial" w:hAnsi="Arial"/>
          <w:color w:val="auto"/>
          <w:sz w:val="20"/>
        </w:rPr>
        <w:t>in</w:t>
      </w:r>
      <w:r w:rsidRPr="00881E1C">
        <w:rPr>
          <w:rFonts w:ascii="Arial" w:hAnsi="Arial"/>
          <w:color w:val="auto"/>
          <w:sz w:val="20"/>
        </w:rPr>
        <w:t xml:space="preserve"> 2024</w:t>
      </w:r>
    </w:p>
    <w:p w14:paraId="00000020" w14:textId="2411DBAC" w:rsidR="003809F5" w:rsidRPr="00881E1C" w:rsidRDefault="00881E1C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34"/>
          <w:tab w:val="left" w:pos="5682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Rate of Dividend payment/Charter capital: </w:t>
      </w:r>
      <w:r w:rsidR="00C253BA" w:rsidRPr="00881E1C">
        <w:rPr>
          <w:rFonts w:ascii="Arial" w:hAnsi="Arial"/>
          <w:color w:val="auto"/>
          <w:sz w:val="20"/>
        </w:rPr>
        <w:t>7%</w:t>
      </w:r>
    </w:p>
    <w:p w14:paraId="00000021" w14:textId="1CB18AF3" w:rsidR="003809F5" w:rsidRPr="00881E1C" w:rsidRDefault="00C253BA" w:rsidP="00B942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Remaining profit after tax </w:t>
      </w:r>
      <w:r w:rsidR="00881E1C" w:rsidRPr="00881E1C">
        <w:rPr>
          <w:rFonts w:ascii="Arial" w:hAnsi="Arial"/>
          <w:color w:val="auto"/>
          <w:sz w:val="20"/>
        </w:rPr>
        <w:t>appropriated</w:t>
      </w:r>
      <w:r w:rsidRPr="00881E1C">
        <w:rPr>
          <w:rFonts w:ascii="Arial" w:hAnsi="Arial"/>
          <w:color w:val="auto"/>
          <w:sz w:val="20"/>
        </w:rPr>
        <w:t xml:space="preserve"> </w:t>
      </w:r>
      <w:r w:rsidR="00881E1C" w:rsidRPr="00881E1C">
        <w:rPr>
          <w:rFonts w:ascii="Arial" w:hAnsi="Arial"/>
          <w:color w:val="auto"/>
          <w:sz w:val="20"/>
        </w:rPr>
        <w:t xml:space="preserve">for </w:t>
      </w:r>
      <w:r w:rsidRPr="00881E1C">
        <w:rPr>
          <w:rFonts w:ascii="Arial" w:hAnsi="Arial"/>
          <w:color w:val="auto"/>
          <w:sz w:val="20"/>
        </w:rPr>
        <w:t>funds as follows:</w:t>
      </w:r>
    </w:p>
    <w:p w14:paraId="00000022" w14:textId="0F2BC3AE" w:rsidR="003809F5" w:rsidRPr="00881E1C" w:rsidRDefault="00C253BA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34"/>
          <w:tab w:val="left" w:pos="5682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Bonus and welfare fund</w:t>
      </w:r>
      <w:r w:rsidR="00881E1C" w:rsidRPr="00881E1C">
        <w:rPr>
          <w:rFonts w:ascii="Arial" w:hAnsi="Arial"/>
          <w:color w:val="auto"/>
          <w:sz w:val="20"/>
        </w:rPr>
        <w:t>:</w:t>
      </w:r>
      <w:r w:rsidRPr="00881E1C">
        <w:rPr>
          <w:rFonts w:ascii="Arial" w:hAnsi="Arial"/>
          <w:color w:val="auto"/>
          <w:sz w:val="20"/>
        </w:rPr>
        <w:t xml:space="preserve"> 20% of profit after tax</w:t>
      </w:r>
    </w:p>
    <w:p w14:paraId="00000023" w14:textId="7A6798C6" w:rsidR="003809F5" w:rsidRPr="00881E1C" w:rsidRDefault="00C253BA" w:rsidP="00B942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In case the realized profit exceeds the assigned planned profit, the Company is allowed to make an additional </w:t>
      </w:r>
      <w:r w:rsidR="00881E1C" w:rsidRPr="00881E1C">
        <w:rPr>
          <w:rFonts w:ascii="Arial" w:hAnsi="Arial"/>
          <w:color w:val="auto"/>
          <w:sz w:val="20"/>
        </w:rPr>
        <w:t>appropriation for</w:t>
      </w:r>
      <w:r w:rsidRPr="00881E1C">
        <w:rPr>
          <w:rFonts w:ascii="Arial" w:hAnsi="Arial"/>
          <w:color w:val="auto"/>
          <w:sz w:val="20"/>
        </w:rPr>
        <w:t xml:space="preserve"> </w:t>
      </w:r>
      <w:r w:rsidR="00881E1C" w:rsidRPr="00881E1C">
        <w:rPr>
          <w:rFonts w:ascii="Arial" w:hAnsi="Arial"/>
          <w:color w:val="auto"/>
          <w:sz w:val="20"/>
        </w:rPr>
        <w:t xml:space="preserve">welfare and </w:t>
      </w:r>
      <w:r w:rsidRPr="00881E1C">
        <w:rPr>
          <w:rFonts w:ascii="Arial" w:hAnsi="Arial"/>
          <w:color w:val="auto"/>
          <w:sz w:val="20"/>
        </w:rPr>
        <w:t>bonus fund</w:t>
      </w:r>
      <w:r w:rsidR="00881E1C" w:rsidRPr="00881E1C">
        <w:rPr>
          <w:rFonts w:ascii="Arial" w:hAnsi="Arial"/>
          <w:color w:val="auto"/>
          <w:sz w:val="20"/>
        </w:rPr>
        <w:t xml:space="preserve"> </w:t>
      </w:r>
      <w:r w:rsidRPr="00881E1C">
        <w:rPr>
          <w:rFonts w:ascii="Arial" w:hAnsi="Arial"/>
          <w:color w:val="auto"/>
          <w:sz w:val="20"/>
        </w:rPr>
        <w:t>at</w:t>
      </w:r>
      <w:r w:rsidR="00881E1C" w:rsidRPr="00881E1C">
        <w:rPr>
          <w:rFonts w:ascii="Arial" w:hAnsi="Arial"/>
          <w:color w:val="auto"/>
          <w:sz w:val="20"/>
        </w:rPr>
        <w:t xml:space="preserve"> the rate of</w:t>
      </w:r>
      <w:r w:rsidRPr="00881E1C">
        <w:rPr>
          <w:rFonts w:ascii="Arial" w:hAnsi="Arial"/>
          <w:color w:val="auto"/>
          <w:sz w:val="20"/>
        </w:rPr>
        <w:t xml:space="preserve"> 20% of profit after tax exceeded the plan.</w:t>
      </w:r>
    </w:p>
    <w:p w14:paraId="00000024" w14:textId="3E0FD5E2" w:rsidR="003809F5" w:rsidRPr="00881E1C" w:rsidRDefault="00C253BA" w:rsidP="00B942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  <w:tab w:val="left" w:pos="652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Approve the Report on salary, remuneration, allowance and other benefits of the Board of Director</w:t>
      </w:r>
      <w:r w:rsidR="00881E1C" w:rsidRPr="00881E1C">
        <w:rPr>
          <w:rFonts w:ascii="Arial" w:hAnsi="Arial"/>
          <w:color w:val="auto"/>
          <w:sz w:val="20"/>
        </w:rPr>
        <w:t xml:space="preserve"> and</w:t>
      </w:r>
      <w:r w:rsidRPr="00881E1C">
        <w:rPr>
          <w:rFonts w:ascii="Arial" w:hAnsi="Arial"/>
          <w:color w:val="auto"/>
          <w:sz w:val="20"/>
        </w:rPr>
        <w:t xml:space="preserve"> the Supervisory Board in 2023, and the estimate for 2024.</w:t>
      </w:r>
    </w:p>
    <w:p w14:paraId="00000025" w14:textId="77777777" w:rsidR="003809F5" w:rsidRPr="00881E1C" w:rsidRDefault="00C253BA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37"/>
          <w:tab w:val="left" w:pos="5682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Implementation report in 2023: VND 2.076 billion</w:t>
      </w:r>
    </w:p>
    <w:p w14:paraId="00000026" w14:textId="3CC9AC57" w:rsidR="003809F5" w:rsidRPr="00881E1C" w:rsidRDefault="00C253BA" w:rsidP="00B942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37"/>
          <w:tab w:val="left" w:pos="5682"/>
          <w:tab w:val="left" w:pos="652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Estimate for 2024: VND 1</w:t>
      </w:r>
      <w:r w:rsidR="00881E1C" w:rsidRPr="00881E1C">
        <w:rPr>
          <w:rFonts w:ascii="Arial" w:hAnsi="Arial"/>
          <w:color w:val="auto"/>
          <w:sz w:val="20"/>
        </w:rPr>
        <w:t>.</w:t>
      </w:r>
      <w:r w:rsidRPr="00881E1C">
        <w:rPr>
          <w:rFonts w:ascii="Arial" w:hAnsi="Arial"/>
          <w:color w:val="auto"/>
          <w:sz w:val="20"/>
        </w:rPr>
        <w:t>947 billion</w:t>
      </w:r>
    </w:p>
    <w:p w14:paraId="00000027" w14:textId="05B685C4" w:rsidR="003809F5" w:rsidRPr="00881E1C" w:rsidRDefault="00C253BA" w:rsidP="00B942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Approve the Report on activities of the Supervisory Board in 2023, the </w:t>
      </w:r>
      <w:r w:rsidR="00881E1C" w:rsidRPr="00881E1C">
        <w:rPr>
          <w:rFonts w:ascii="Arial" w:hAnsi="Arial"/>
          <w:color w:val="auto"/>
          <w:sz w:val="20"/>
        </w:rPr>
        <w:t>operational</w:t>
      </w:r>
      <w:r w:rsidRPr="00881E1C">
        <w:rPr>
          <w:rFonts w:ascii="Arial" w:hAnsi="Arial"/>
          <w:color w:val="auto"/>
          <w:sz w:val="20"/>
        </w:rPr>
        <w:t xml:space="preserve"> plan 2024 and authorize the Board of Directors to select one of the three audit companies for the Financial Statements 2024 including: (1) Deloitte Vietnam Audit Company Limited; (2) Ernst &amp; Young Viet Nam Limited, (3) KPMG Limited</w:t>
      </w:r>
    </w:p>
    <w:p w14:paraId="00000028" w14:textId="6BC15557" w:rsidR="003809F5" w:rsidRPr="00881E1C" w:rsidRDefault="00C253BA" w:rsidP="00B942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 xml:space="preserve">Article 2: This General Mandate takes effect </w:t>
      </w:r>
      <w:r w:rsidR="00881E1C" w:rsidRPr="00881E1C">
        <w:rPr>
          <w:rFonts w:ascii="Arial" w:hAnsi="Arial"/>
          <w:color w:val="auto"/>
          <w:sz w:val="20"/>
        </w:rPr>
        <w:t>from</w:t>
      </w:r>
      <w:r w:rsidRPr="00881E1C">
        <w:rPr>
          <w:rFonts w:ascii="Arial" w:hAnsi="Arial"/>
          <w:color w:val="auto"/>
          <w:sz w:val="20"/>
        </w:rPr>
        <w:t xml:space="preserve"> the date </w:t>
      </w:r>
      <w:r w:rsidR="00881E1C" w:rsidRPr="00881E1C">
        <w:rPr>
          <w:rFonts w:ascii="Arial" w:hAnsi="Arial"/>
          <w:color w:val="auto"/>
          <w:sz w:val="20"/>
        </w:rPr>
        <w:t xml:space="preserve">(April 22, 2024) </w:t>
      </w:r>
      <w:r w:rsidRPr="00881E1C">
        <w:rPr>
          <w:rFonts w:ascii="Arial" w:hAnsi="Arial"/>
          <w:color w:val="auto"/>
          <w:sz w:val="20"/>
        </w:rPr>
        <w:t>approved by the General Meeting of Shareholders 2024.</w:t>
      </w:r>
    </w:p>
    <w:p w14:paraId="00000029" w14:textId="2B0B8FE1" w:rsidR="003809F5" w:rsidRPr="00881E1C" w:rsidRDefault="00C253BA" w:rsidP="00B942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81E1C">
        <w:rPr>
          <w:rFonts w:ascii="Arial" w:hAnsi="Arial"/>
          <w:color w:val="auto"/>
          <w:sz w:val="20"/>
        </w:rPr>
        <w:t>Article 3: The Board of Directors, the Board</w:t>
      </w:r>
      <w:r w:rsidR="00881E1C" w:rsidRPr="00881E1C">
        <w:rPr>
          <w:rFonts w:ascii="Arial" w:hAnsi="Arial"/>
          <w:color w:val="auto"/>
          <w:sz w:val="20"/>
        </w:rPr>
        <w:t xml:space="preserve"> of Managers</w:t>
      </w:r>
      <w:r w:rsidRPr="00881E1C">
        <w:rPr>
          <w:rFonts w:ascii="Arial" w:hAnsi="Arial"/>
          <w:color w:val="auto"/>
          <w:sz w:val="20"/>
        </w:rPr>
        <w:t xml:space="preserve">, the Supervisory Board, and </w:t>
      </w:r>
      <w:r w:rsidR="00881E1C" w:rsidRPr="00881E1C">
        <w:rPr>
          <w:rFonts w:ascii="Arial" w:hAnsi="Arial"/>
          <w:color w:val="auto"/>
          <w:sz w:val="20"/>
        </w:rPr>
        <w:t>H</w:t>
      </w:r>
      <w:r w:rsidRPr="00881E1C">
        <w:rPr>
          <w:rFonts w:ascii="Arial" w:hAnsi="Arial"/>
          <w:color w:val="auto"/>
          <w:sz w:val="20"/>
        </w:rPr>
        <w:t>eads of departments under North Petro Vietnam Fertilizer &amp; Chemicals Joint Stock Company are responsible for the implementation of this General Mandate.</w:t>
      </w:r>
    </w:p>
    <w:sectPr w:rsidR="003809F5" w:rsidRPr="00881E1C" w:rsidSect="00DB379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713F"/>
    <w:multiLevelType w:val="multilevel"/>
    <w:tmpl w:val="D83048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24232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AF18AE"/>
    <w:multiLevelType w:val="multilevel"/>
    <w:tmpl w:val="217879A0"/>
    <w:lvl w:ilvl="0">
      <w:start w:val="5"/>
      <w:numFmt w:val="decimal"/>
      <w:lvlText w:val="1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C3B4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16651AC"/>
    <w:multiLevelType w:val="multilevel"/>
    <w:tmpl w:val="94FADD1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71025D2"/>
    <w:multiLevelType w:val="multilevel"/>
    <w:tmpl w:val="31CE34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3C3B4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BFA343B"/>
    <w:multiLevelType w:val="multilevel"/>
    <w:tmpl w:val="944828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0BA6185"/>
    <w:multiLevelType w:val="multilevel"/>
    <w:tmpl w:val="0D049EC0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5"/>
    <w:rsid w:val="003809F5"/>
    <w:rsid w:val="00881E1C"/>
    <w:rsid w:val="00B94294"/>
    <w:rsid w:val="00C253BA"/>
    <w:rsid w:val="00D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65BF"/>
  <w15:docId w15:val="{C38436F5-A650-444B-82DD-D3E9269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B4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329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329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32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6728C"/>
      <w:sz w:val="24"/>
      <w:szCs w:val="2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C3B42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color w:val="3C3B4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color w:val="242329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242329"/>
      <w:sz w:val="32"/>
      <w:szCs w:val="32"/>
    </w:rPr>
  </w:style>
  <w:style w:type="paragraph" w:customStyle="1" w:styleId="Heading21">
    <w:name w:val="Heading #2"/>
    <w:basedOn w:val="Normal"/>
    <w:link w:val="Heading20"/>
    <w:pPr>
      <w:spacing w:line="257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42329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color w:val="D6728C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color w:val="3C3B42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RMkUmXyJes/bQCBy5ljgQwuChQ==">CgMxLjA4AHIhMW5tSHNQZVczbW9sam9MYlhmMExzdXA1WmpTRnRNZmZG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2024-04-29T07:51:00Z</dcterms:created>
  <dcterms:modified xsi:type="dcterms:W3CDTF">2024-05-03T03:55:00Z</dcterms:modified>
</cp:coreProperties>
</file>