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D8" w:rsidRDefault="0087242C" w:rsidP="009D7AB9">
      <w:pPr>
        <w:pBdr>
          <w:top w:val="nil"/>
          <w:left w:val="nil"/>
          <w:bottom w:val="nil"/>
          <w:right w:val="nil"/>
          <w:between w:val="nil"/>
        </w:pBdr>
        <w:tabs>
          <w:tab w:val="left" w:pos="432"/>
          <w:tab w:val="left" w:pos="1698"/>
        </w:tabs>
        <w:spacing w:after="120" w:line="360" w:lineRule="auto"/>
        <w:jc w:val="both"/>
        <w:rPr>
          <w:rFonts w:ascii="Arial" w:eastAsia="Arial" w:hAnsi="Arial" w:cs="Arial"/>
          <w:b/>
          <w:color w:val="010000"/>
          <w:sz w:val="20"/>
          <w:szCs w:val="20"/>
        </w:rPr>
      </w:pPr>
      <w:r>
        <w:rPr>
          <w:rFonts w:ascii="Arial" w:hAnsi="Arial"/>
          <w:b/>
          <w:bCs/>
          <w:color w:val="010000"/>
          <w:sz w:val="20"/>
        </w:rPr>
        <w:t>SD7:</w:t>
      </w:r>
      <w:r>
        <w:rPr>
          <w:rFonts w:ascii="Arial" w:hAnsi="Arial"/>
          <w:b/>
          <w:color w:val="010000"/>
          <w:sz w:val="20"/>
        </w:rPr>
        <w:t xml:space="preserve"> Annual General Mandate 2024</w:t>
      </w:r>
    </w:p>
    <w:p w:rsidR="00F87CD8" w:rsidRDefault="0087242C" w:rsidP="009D7AB9">
      <w:pPr>
        <w:pBdr>
          <w:top w:val="nil"/>
          <w:left w:val="nil"/>
          <w:bottom w:val="nil"/>
          <w:right w:val="nil"/>
          <w:between w:val="nil"/>
        </w:pBdr>
        <w:tabs>
          <w:tab w:val="left" w:pos="432"/>
          <w:tab w:val="left" w:pos="1698"/>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w:t>
      </w:r>
      <w:proofErr w:type="spellStart"/>
      <w:r>
        <w:rPr>
          <w:rFonts w:ascii="Arial" w:hAnsi="Arial"/>
          <w:color w:val="010000"/>
          <w:sz w:val="20"/>
        </w:rPr>
        <w:t>Songda</w:t>
      </w:r>
      <w:proofErr w:type="spellEnd"/>
      <w:r>
        <w:rPr>
          <w:rFonts w:ascii="Arial" w:hAnsi="Arial"/>
          <w:color w:val="010000"/>
          <w:sz w:val="20"/>
        </w:rPr>
        <w:t xml:space="preserve"> 7 JSC </w:t>
      </w:r>
      <w:proofErr w:type="spellStart"/>
      <w:r>
        <w:rPr>
          <w:rFonts w:ascii="Arial" w:hAnsi="Arial"/>
          <w:color w:val="010000"/>
          <w:sz w:val="20"/>
        </w:rPr>
        <w:t>annoucned</w:t>
      </w:r>
      <w:proofErr w:type="spellEnd"/>
      <w:r>
        <w:rPr>
          <w:rFonts w:ascii="Arial" w:hAnsi="Arial"/>
          <w:color w:val="010000"/>
          <w:sz w:val="20"/>
        </w:rPr>
        <w:t xml:space="preserve"> General Mandate No. 01/2024/NQ-DHDCD as follows:</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‎‎Article 1.</w:t>
      </w:r>
      <w:proofErr w:type="gramEnd"/>
      <w:r>
        <w:rPr>
          <w:rFonts w:ascii="Arial" w:hAnsi="Arial"/>
          <w:color w:val="010000"/>
          <w:sz w:val="20"/>
        </w:rPr>
        <w:t xml:space="preserve"> Approve the following contents:</w:t>
      </w:r>
    </w:p>
    <w:p w:rsidR="00F87CD8" w:rsidRDefault="0087242C" w:rsidP="009D7AB9">
      <w:pPr>
        <w:numPr>
          <w:ilvl w:val="0"/>
          <w:numId w:val="4"/>
        </w:numPr>
        <w:pBdr>
          <w:top w:val="nil"/>
          <w:left w:val="nil"/>
          <w:bottom w:val="nil"/>
          <w:right w:val="nil"/>
          <w:between w:val="nil"/>
        </w:pBdr>
        <w:tabs>
          <w:tab w:val="left" w:pos="432"/>
          <w:tab w:val="left" w:pos="178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performance in 2023 with the following main targets:</w:t>
      </w:r>
    </w:p>
    <w:p w:rsidR="00F87CD8" w:rsidRDefault="0087242C" w:rsidP="009D7AB9">
      <w:pPr>
        <w:numPr>
          <w:ilvl w:val="0"/>
          <w:numId w:val="3"/>
        </w:numPr>
        <w:pBdr>
          <w:top w:val="nil"/>
          <w:left w:val="nil"/>
          <w:bottom w:val="nil"/>
          <w:right w:val="nil"/>
          <w:between w:val="nil"/>
        </w:pBdr>
        <w:tabs>
          <w:tab w:val="left" w:pos="432"/>
          <w:tab w:val="left" w:pos="1672"/>
        </w:tabs>
        <w:spacing w:after="120" w:line="360" w:lineRule="auto"/>
        <w:jc w:val="both"/>
        <w:rPr>
          <w:rFonts w:ascii="Arial" w:eastAsia="Arial" w:hAnsi="Arial" w:cs="Arial"/>
          <w:color w:val="010000"/>
          <w:sz w:val="20"/>
          <w:szCs w:val="20"/>
        </w:rPr>
      </w:pPr>
      <w:r>
        <w:rPr>
          <w:rFonts w:ascii="Arial" w:hAnsi="Arial"/>
          <w:color w:val="010000"/>
          <w:sz w:val="20"/>
        </w:rPr>
        <w:t>Total value of production</w:t>
      </w:r>
      <w:r w:rsidR="0039263D">
        <w:rPr>
          <w:rFonts w:ascii="Arial" w:hAnsi="Arial"/>
          <w:color w:val="010000"/>
          <w:sz w:val="20"/>
        </w:rPr>
        <w:t xml:space="preserve"> and business performed:  VND 0</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Rea</w:t>
      </w:r>
      <w:r w:rsidR="0039263D">
        <w:rPr>
          <w:rFonts w:ascii="Arial" w:hAnsi="Arial"/>
          <w:color w:val="010000"/>
          <w:sz w:val="20"/>
        </w:rPr>
        <w:t>lized revenue: VND 9.52 billion</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Payable to State budget  VND 2.09 billion;</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Profit before tax</w:t>
      </w:r>
      <w:r w:rsidR="0039263D">
        <w:rPr>
          <w:rFonts w:ascii="Arial" w:hAnsi="Arial"/>
          <w:color w:val="010000"/>
          <w:sz w:val="20"/>
        </w:rPr>
        <w:t xml:space="preserve">: </w:t>
      </w:r>
      <w:r>
        <w:rPr>
          <w:rFonts w:ascii="Arial" w:hAnsi="Arial"/>
          <w:color w:val="010000"/>
          <w:sz w:val="20"/>
        </w:rPr>
        <w:t>VND -2.86 billion.</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 xml:space="preserve">Profit after tax: </w:t>
      </w:r>
      <w:r w:rsidR="0039263D">
        <w:rPr>
          <w:rFonts w:ascii="Arial" w:hAnsi="Arial"/>
          <w:color w:val="010000"/>
          <w:sz w:val="20"/>
        </w:rPr>
        <w:t>VND -2.86 billion</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Own</w:t>
      </w:r>
      <w:r w:rsidR="0039263D">
        <w:rPr>
          <w:rFonts w:ascii="Arial" w:hAnsi="Arial"/>
          <w:color w:val="010000"/>
          <w:sz w:val="20"/>
        </w:rPr>
        <w:t>ers’ Equity: VND 136.67 billion</w:t>
      </w:r>
    </w:p>
    <w:p w:rsidR="00F87CD8" w:rsidRDefault="0039263D"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Average income: VND 15 million</w:t>
      </w:r>
    </w:p>
    <w:p w:rsidR="00F87CD8" w:rsidRDefault="0087242C" w:rsidP="009D7AB9">
      <w:pPr>
        <w:numPr>
          <w:ilvl w:val="0"/>
          <w:numId w:val="3"/>
        </w:numPr>
        <w:pBdr>
          <w:top w:val="nil"/>
          <w:left w:val="nil"/>
          <w:bottom w:val="nil"/>
          <w:right w:val="nil"/>
          <w:between w:val="nil"/>
        </w:pBdr>
        <w:tabs>
          <w:tab w:val="left" w:pos="432"/>
          <w:tab w:val="left" w:pos="1682"/>
        </w:tabs>
        <w:spacing w:after="120" w:line="360" w:lineRule="auto"/>
        <w:jc w:val="both"/>
        <w:rPr>
          <w:rFonts w:ascii="Arial" w:eastAsia="Arial" w:hAnsi="Arial" w:cs="Arial"/>
          <w:color w:val="010000"/>
          <w:sz w:val="20"/>
          <w:szCs w:val="20"/>
        </w:rPr>
      </w:pPr>
      <w:r>
        <w:rPr>
          <w:rFonts w:ascii="Arial" w:hAnsi="Arial"/>
          <w:color w:val="010000"/>
          <w:sz w:val="20"/>
        </w:rPr>
        <w:t>Average number of employees: 30 person</w:t>
      </w:r>
    </w:p>
    <w:p w:rsidR="00F87CD8" w:rsidRDefault="0087242C" w:rsidP="009D7AB9">
      <w:pPr>
        <w:keepNext/>
        <w:numPr>
          <w:ilvl w:val="0"/>
          <w:numId w:val="4"/>
        </w:numPr>
        <w:pBdr>
          <w:top w:val="nil"/>
          <w:left w:val="nil"/>
          <w:bottom w:val="nil"/>
          <w:right w:val="nil"/>
          <w:between w:val="nil"/>
        </w:pBdr>
        <w:tabs>
          <w:tab w:val="left" w:pos="432"/>
          <w:tab w:val="left" w:pos="179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in 2024.</w:t>
      </w:r>
    </w:p>
    <w:p w:rsidR="00F87CD8" w:rsidRDefault="0087242C" w:rsidP="009D7AB9">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report on the performance of the Board of Directors in 2023 and the orientation of the Board of Directors in 2024.</w:t>
      </w:r>
    </w:p>
    <w:p w:rsidR="00F87CD8" w:rsidRDefault="0087242C" w:rsidP="009D7AB9">
      <w:pPr>
        <w:keepNext/>
        <w:numPr>
          <w:ilvl w:val="0"/>
          <w:numId w:val="1"/>
        </w:numPr>
        <w:pBdr>
          <w:top w:val="nil"/>
          <w:left w:val="nil"/>
          <w:bottom w:val="nil"/>
          <w:right w:val="nil"/>
          <w:between w:val="nil"/>
        </w:pBdr>
        <w:tabs>
          <w:tab w:val="left" w:pos="432"/>
          <w:tab w:val="left" w:pos="1827"/>
        </w:tabs>
        <w:spacing w:after="120" w:line="360" w:lineRule="auto"/>
        <w:jc w:val="both"/>
        <w:rPr>
          <w:rFonts w:ascii="Arial" w:eastAsia="Arial" w:hAnsi="Arial" w:cs="Arial"/>
          <w:color w:val="010000"/>
          <w:sz w:val="20"/>
          <w:szCs w:val="20"/>
        </w:rPr>
      </w:pPr>
      <w:r>
        <w:rPr>
          <w:rFonts w:ascii="Arial" w:hAnsi="Arial"/>
          <w:color w:val="010000"/>
          <w:sz w:val="20"/>
        </w:rPr>
        <w:t>Approve the Audited Financial Statements 2023</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unanimously approve</w:t>
      </w:r>
      <w:r>
        <w:rPr>
          <w:rFonts w:ascii="Arial" w:hAnsi="Arial"/>
          <w:color w:val="010000"/>
          <w:sz w:val="20"/>
        </w:rPr>
        <w:t xml:space="preserve">d the Financial Statements 2023 </w:t>
      </w:r>
      <w:bookmarkStart w:id="0" w:name="_GoBack"/>
      <w:bookmarkEnd w:id="0"/>
      <w:r>
        <w:rPr>
          <w:rFonts w:ascii="Arial" w:hAnsi="Arial"/>
          <w:color w:val="010000"/>
          <w:sz w:val="20"/>
        </w:rPr>
        <w:t xml:space="preserve">audited by </w:t>
      </w:r>
      <w:r>
        <w:rPr>
          <w:rFonts w:ascii="Arial" w:hAnsi="Arial"/>
          <w:color w:val="010000"/>
          <w:sz w:val="20"/>
        </w:rPr>
        <w:t>AASC Auditing Co., Ltd., report No. 010424.005/BCTC.KT5 dated March 28, 2024.</w:t>
      </w:r>
    </w:p>
    <w:p w:rsidR="00F87CD8" w:rsidRDefault="0087242C" w:rsidP="009D7AB9">
      <w:pPr>
        <w:keepNext/>
        <w:numPr>
          <w:ilvl w:val="0"/>
          <w:numId w:val="1"/>
        </w:numPr>
        <w:pBdr>
          <w:top w:val="nil"/>
          <w:left w:val="nil"/>
          <w:bottom w:val="nil"/>
          <w:right w:val="nil"/>
          <w:between w:val="nil"/>
        </w:pBdr>
        <w:tabs>
          <w:tab w:val="left" w:pos="432"/>
          <w:tab w:val="left" w:pos="1827"/>
        </w:tabs>
        <w:spacing w:after="120" w:line="360" w:lineRule="auto"/>
        <w:jc w:val="both"/>
        <w:rPr>
          <w:rFonts w:ascii="Arial" w:eastAsia="Arial" w:hAnsi="Arial" w:cs="Arial"/>
          <w:color w:val="010000"/>
          <w:sz w:val="20"/>
          <w:szCs w:val="20"/>
        </w:rPr>
      </w:pPr>
      <w:r>
        <w:rPr>
          <w:rFonts w:ascii="Arial" w:hAnsi="Arial"/>
          <w:color w:val="010000"/>
          <w:sz w:val="20"/>
        </w:rPr>
        <w:t>Approve the profit distribution plan in 2023:</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based on the audited Financial Statements of </w:t>
      </w:r>
      <w:proofErr w:type="spellStart"/>
      <w:r>
        <w:rPr>
          <w:rFonts w:ascii="Arial" w:hAnsi="Arial"/>
          <w:color w:val="010000"/>
          <w:sz w:val="20"/>
        </w:rPr>
        <w:t>Songda</w:t>
      </w:r>
      <w:proofErr w:type="spellEnd"/>
      <w:r>
        <w:rPr>
          <w:rFonts w:ascii="Arial" w:hAnsi="Arial"/>
          <w:color w:val="010000"/>
          <w:sz w:val="20"/>
        </w:rPr>
        <w:t xml:space="preserve"> 7 JSC audited by AASC Auditing Co., Ltd., the Company's</w:t>
      </w:r>
      <w:r>
        <w:rPr>
          <w:rFonts w:ascii="Arial" w:hAnsi="Arial"/>
          <w:color w:val="010000"/>
          <w:sz w:val="20"/>
        </w:rPr>
        <w:t xml:space="preserve"> business results in 2023 recorded a loss after tax of VND 2.8 billion.</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Due to the loss after tax of VND 2.8 billion in 2023, the Company will not distribute profits in 2023.</w:t>
      </w:r>
    </w:p>
    <w:p w:rsidR="00F87CD8" w:rsidRDefault="0087242C" w:rsidP="009D7AB9">
      <w:pPr>
        <w:numPr>
          <w:ilvl w:val="0"/>
          <w:numId w:val="1"/>
        </w:numPr>
        <w:pBdr>
          <w:top w:val="nil"/>
          <w:left w:val="nil"/>
          <w:bottom w:val="nil"/>
          <w:right w:val="nil"/>
          <w:between w:val="nil"/>
        </w:pBdr>
        <w:tabs>
          <w:tab w:val="left" w:pos="432"/>
          <w:tab w:val="left" w:pos="1834"/>
        </w:tabs>
        <w:spacing w:after="120" w:line="360" w:lineRule="auto"/>
        <w:jc w:val="both"/>
        <w:rPr>
          <w:rFonts w:ascii="Arial" w:eastAsia="Arial" w:hAnsi="Arial" w:cs="Arial"/>
          <w:color w:val="010000"/>
          <w:sz w:val="20"/>
          <w:szCs w:val="20"/>
        </w:rPr>
      </w:pPr>
      <w:r>
        <w:rPr>
          <w:rFonts w:ascii="Arial" w:hAnsi="Arial"/>
          <w:color w:val="010000"/>
          <w:sz w:val="20"/>
        </w:rPr>
        <w:t>Approve the authorization for the Board of Directors to coordinate with the Supervisory Board to select AASC Auditing Co., Ltd. to perform the audit of the Company's Financial Statements 2024.</w:t>
      </w:r>
    </w:p>
    <w:p w:rsidR="00F87CD8" w:rsidRDefault="0087242C" w:rsidP="009D7AB9">
      <w:pPr>
        <w:numPr>
          <w:ilvl w:val="0"/>
          <w:numId w:val="1"/>
        </w:numPr>
        <w:pBdr>
          <w:top w:val="nil"/>
          <w:left w:val="nil"/>
          <w:bottom w:val="nil"/>
          <w:right w:val="nil"/>
          <w:between w:val="nil"/>
        </w:pBdr>
        <w:tabs>
          <w:tab w:val="left" w:pos="432"/>
          <w:tab w:val="left" w:pos="1834"/>
        </w:tabs>
        <w:spacing w:after="120" w:line="360" w:lineRule="auto"/>
        <w:jc w:val="both"/>
        <w:rPr>
          <w:rFonts w:ascii="Arial" w:eastAsia="Arial" w:hAnsi="Arial" w:cs="Arial"/>
          <w:color w:val="010000"/>
          <w:sz w:val="20"/>
          <w:szCs w:val="20"/>
        </w:rPr>
      </w:pPr>
      <w:r>
        <w:rPr>
          <w:rFonts w:ascii="Arial" w:hAnsi="Arial"/>
          <w:color w:val="010000"/>
          <w:sz w:val="20"/>
        </w:rPr>
        <w:t>Approve the remuneration payment for the Board of Directors and</w:t>
      </w:r>
      <w:r>
        <w:rPr>
          <w:rFonts w:ascii="Arial" w:hAnsi="Arial"/>
          <w:color w:val="010000"/>
          <w:sz w:val="20"/>
        </w:rPr>
        <w:t xml:space="preserve"> the Supervisory Board of the Company in 2023 and the plan for remuneration payment for the Board of Directors, the Supervisory Board, and the Company Secretariat in 2024 as follows:</w:t>
      </w:r>
    </w:p>
    <w:p w:rsidR="00F87CD8" w:rsidRDefault="0087242C" w:rsidP="009D7AB9">
      <w:pPr>
        <w:keepNext/>
        <w:numPr>
          <w:ilvl w:val="1"/>
          <w:numId w:val="1"/>
        </w:numPr>
        <w:pBdr>
          <w:top w:val="nil"/>
          <w:left w:val="nil"/>
          <w:bottom w:val="nil"/>
          <w:right w:val="nil"/>
          <w:between w:val="nil"/>
        </w:pBdr>
        <w:tabs>
          <w:tab w:val="left" w:pos="432"/>
          <w:tab w:val="left" w:pos="2038"/>
        </w:tabs>
        <w:spacing w:after="120" w:line="360" w:lineRule="auto"/>
        <w:jc w:val="both"/>
        <w:rPr>
          <w:rFonts w:ascii="Arial" w:eastAsia="Arial" w:hAnsi="Arial" w:cs="Arial"/>
          <w:color w:val="010000"/>
          <w:sz w:val="20"/>
          <w:szCs w:val="20"/>
        </w:rPr>
      </w:pPr>
      <w:r>
        <w:rPr>
          <w:rFonts w:ascii="Arial" w:hAnsi="Arial"/>
          <w:color w:val="010000"/>
          <w:sz w:val="20"/>
        </w:rPr>
        <w:t>Implementation of remuneration payment for the Board of Directors and the Supervisory Board of the Company in 2023.</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w:t>
      </w:r>
      <w:proofErr w:type="spellStart"/>
      <w:r>
        <w:rPr>
          <w:rFonts w:ascii="Arial" w:hAnsi="Arial"/>
          <w:color w:val="010000"/>
          <w:sz w:val="20"/>
        </w:rPr>
        <w:t>Songda</w:t>
      </w:r>
      <w:proofErr w:type="spellEnd"/>
      <w:r>
        <w:rPr>
          <w:rFonts w:ascii="Arial" w:hAnsi="Arial"/>
          <w:color w:val="010000"/>
          <w:sz w:val="20"/>
        </w:rPr>
        <w:t xml:space="preserve"> 7 JSC recorded a loss after tax of VND 2.8 billion, so in 2023, no remuneration will be paid to the Board of Directors, the </w:t>
      </w:r>
      <w:r>
        <w:rPr>
          <w:rFonts w:ascii="Arial" w:hAnsi="Arial"/>
          <w:color w:val="010000"/>
          <w:sz w:val="20"/>
        </w:rPr>
        <w:t>Supervisory Board and the Secretariat.</w:t>
      </w:r>
    </w:p>
    <w:p w:rsidR="00F87CD8" w:rsidRDefault="0087242C" w:rsidP="009D7AB9">
      <w:pPr>
        <w:keepNext/>
        <w:numPr>
          <w:ilvl w:val="1"/>
          <w:numId w:val="1"/>
        </w:numPr>
        <w:pBdr>
          <w:top w:val="nil"/>
          <w:left w:val="nil"/>
          <w:bottom w:val="nil"/>
          <w:right w:val="nil"/>
          <w:between w:val="nil"/>
        </w:pBdr>
        <w:tabs>
          <w:tab w:val="left" w:pos="432"/>
          <w:tab w:val="left" w:pos="2045"/>
        </w:tabs>
        <w:spacing w:after="120" w:line="360" w:lineRule="auto"/>
        <w:jc w:val="both"/>
        <w:rPr>
          <w:rFonts w:ascii="Arial" w:eastAsia="Arial" w:hAnsi="Arial" w:cs="Arial"/>
          <w:color w:val="010000"/>
          <w:sz w:val="20"/>
          <w:szCs w:val="20"/>
        </w:rPr>
      </w:pPr>
      <w:r>
        <w:rPr>
          <w:rFonts w:ascii="Arial" w:hAnsi="Arial"/>
          <w:color w:val="010000"/>
          <w:sz w:val="20"/>
        </w:rPr>
        <w:lastRenderedPageBreak/>
        <w:t>Plan for remuneration payment for the Board of Directors, the Supervisory Board and the Secretariat of the Board of Directors in 2024.</w:t>
      </w:r>
    </w:p>
    <w:p w:rsidR="00F87CD8" w:rsidRDefault="0087242C" w:rsidP="009D7AB9">
      <w:pPr>
        <w:numPr>
          <w:ilvl w:val="0"/>
          <w:numId w:val="2"/>
        </w:numPr>
        <w:pBdr>
          <w:top w:val="nil"/>
          <w:left w:val="nil"/>
          <w:bottom w:val="nil"/>
          <w:right w:val="nil"/>
          <w:between w:val="nil"/>
        </w:pBdr>
        <w:tabs>
          <w:tab w:val="left" w:pos="432"/>
        </w:tabs>
        <w:spacing w:after="120" w:line="360" w:lineRule="auto"/>
        <w:ind w:left="0" w:hanging="15"/>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 xml:space="preserve">When the rate of completing the production and business plan targets (some key targets: output, revenue, profit) of the Company reaches ≥100% of the annual plan, the maximum remuneration for members of the Board of Directors, the Supervisory Board and the </w:t>
      </w:r>
      <w:r>
        <w:rPr>
          <w:rFonts w:ascii="Arial" w:hAnsi="Arial"/>
          <w:color w:val="010000"/>
          <w:sz w:val="20"/>
        </w:rPr>
        <w:t xml:space="preserve">Secretariat of the Board of Directors is as follows:  </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3830"/>
        <w:gridCol w:w="4563"/>
      </w:tblGrid>
      <w:tr w:rsidR="00F87CD8">
        <w:tc>
          <w:tcPr>
            <w:tcW w:w="624"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830"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4563"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Monthly remuneration/person (VND)</w:t>
            </w:r>
          </w:p>
        </w:tc>
      </w:tr>
      <w:tr w:rsidR="00F87CD8">
        <w:tc>
          <w:tcPr>
            <w:tcW w:w="624"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830"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Non-executive Chair of the Board of Directors</w:t>
            </w:r>
          </w:p>
        </w:tc>
        <w:tc>
          <w:tcPr>
            <w:tcW w:w="4563"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5,000,000</w:t>
            </w:r>
          </w:p>
        </w:tc>
      </w:tr>
      <w:tr w:rsidR="00F87CD8">
        <w:tc>
          <w:tcPr>
            <w:tcW w:w="624"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830"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4563" w:type="dxa"/>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r>
      <w:tr w:rsidR="00F87CD8">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4,000,000</w:t>
            </w:r>
          </w:p>
        </w:tc>
      </w:tr>
      <w:tr w:rsidR="00F87CD8">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2,500,000</w:t>
            </w:r>
          </w:p>
        </w:tc>
      </w:tr>
      <w:tr w:rsidR="00F87CD8">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Secretariat of the Board of Directors</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2,500,000</w:t>
            </w:r>
          </w:p>
        </w:tc>
      </w:tr>
    </w:tbl>
    <w:p w:rsidR="00F87CD8" w:rsidRDefault="0087242C" w:rsidP="009D7AB9">
      <w:pPr>
        <w:numPr>
          <w:ilvl w:val="0"/>
          <w:numId w:val="3"/>
        </w:numPr>
        <w:pBdr>
          <w:top w:val="nil"/>
          <w:left w:val="nil"/>
          <w:bottom w:val="nil"/>
          <w:right w:val="nil"/>
          <w:between w:val="nil"/>
        </w:pBdr>
        <w:tabs>
          <w:tab w:val="left" w:pos="432"/>
          <w:tab w:val="left" w:pos="1666"/>
        </w:tabs>
        <w:spacing w:after="120" w:line="360" w:lineRule="auto"/>
        <w:jc w:val="both"/>
        <w:rPr>
          <w:rFonts w:ascii="Arial" w:eastAsia="Arial" w:hAnsi="Arial" w:cs="Arial"/>
          <w:color w:val="010000"/>
          <w:sz w:val="20"/>
          <w:szCs w:val="20"/>
        </w:rPr>
      </w:pPr>
      <w:r>
        <w:rPr>
          <w:rFonts w:ascii="Arial" w:hAnsi="Arial"/>
          <w:color w:val="010000"/>
          <w:sz w:val="20"/>
        </w:rPr>
        <w:t>When the rate of completing the production and business plan targets (some key targets: output, revenue, profit) of the Company is &lt;</w:t>
      </w:r>
      <w:r>
        <w:rPr>
          <w:rFonts w:ascii="Arial" w:hAnsi="Arial"/>
          <w:color w:val="010000"/>
          <w:sz w:val="20"/>
        </w:rPr>
        <w:t xml:space="preserve"> 100% of the annual plan, the remuneration of the Chair of the Board of Directors, members of the Board of Directors, the Supervisory Board and the Secretariat of the Board of Directors will be paid in proportion to the rate of plan completion.  </w:t>
      </w:r>
    </w:p>
    <w:p w:rsidR="00F87CD8" w:rsidRDefault="0087242C" w:rsidP="009D7AB9">
      <w:pPr>
        <w:numPr>
          <w:ilvl w:val="0"/>
          <w:numId w:val="3"/>
        </w:numPr>
        <w:pBdr>
          <w:top w:val="nil"/>
          <w:left w:val="nil"/>
          <w:bottom w:val="nil"/>
          <w:right w:val="nil"/>
          <w:between w:val="nil"/>
        </w:pBdr>
        <w:tabs>
          <w:tab w:val="left" w:pos="432"/>
          <w:tab w:val="left" w:pos="1666"/>
        </w:tabs>
        <w:spacing w:after="120" w:line="360" w:lineRule="auto"/>
        <w:jc w:val="both"/>
        <w:rPr>
          <w:rFonts w:ascii="Arial" w:eastAsia="Arial" w:hAnsi="Arial" w:cs="Arial"/>
          <w:color w:val="010000"/>
          <w:sz w:val="20"/>
          <w:szCs w:val="20"/>
        </w:rPr>
      </w:pPr>
      <w:r>
        <w:rPr>
          <w:rFonts w:ascii="Arial" w:hAnsi="Arial"/>
          <w:color w:val="010000"/>
          <w:sz w:val="20"/>
        </w:rPr>
        <w:t>For execu</w:t>
      </w:r>
      <w:r>
        <w:rPr>
          <w:rFonts w:ascii="Arial" w:hAnsi="Arial"/>
          <w:color w:val="010000"/>
          <w:sz w:val="20"/>
        </w:rPr>
        <w:t>tive members of the Board of Directors and the Supervisory Board who have already received salaries at the unit, they will not be entitled to remuneration.</w:t>
      </w:r>
    </w:p>
    <w:p w:rsidR="00F87CD8" w:rsidRDefault="0087242C" w:rsidP="009D7AB9">
      <w:pPr>
        <w:keepNext/>
        <w:numPr>
          <w:ilvl w:val="0"/>
          <w:numId w:val="1"/>
        </w:numPr>
        <w:pBdr>
          <w:top w:val="nil"/>
          <w:left w:val="nil"/>
          <w:bottom w:val="nil"/>
          <w:right w:val="nil"/>
          <w:between w:val="nil"/>
        </w:pBdr>
        <w:tabs>
          <w:tab w:val="left" w:pos="432"/>
          <w:tab w:val="left" w:pos="1766"/>
        </w:tabs>
        <w:spacing w:after="120" w:line="360" w:lineRule="auto"/>
        <w:jc w:val="both"/>
        <w:rPr>
          <w:rFonts w:ascii="Arial" w:eastAsia="Arial" w:hAnsi="Arial" w:cs="Arial"/>
          <w:color w:val="010000"/>
          <w:sz w:val="20"/>
          <w:szCs w:val="20"/>
        </w:rPr>
      </w:pPr>
      <w:r>
        <w:rPr>
          <w:rFonts w:ascii="Arial" w:hAnsi="Arial"/>
          <w:color w:val="010000"/>
          <w:sz w:val="20"/>
        </w:rPr>
        <w:t>Approve the report on the performance and appraisal in 2023 of the Supervisory Board</w:t>
      </w:r>
      <w:r>
        <w:rPr>
          <w:rFonts w:ascii="Arial" w:hAnsi="Arial"/>
          <w:color w:val="010000"/>
          <w:sz w:val="20"/>
        </w:rPr>
        <w:t xml:space="preserve"> </w:t>
      </w:r>
    </w:p>
    <w:p w:rsidR="00F87CD8" w:rsidRDefault="0087242C" w:rsidP="009D7AB9">
      <w:pPr>
        <w:keepNext/>
        <w:numPr>
          <w:ilvl w:val="0"/>
          <w:numId w:val="1"/>
        </w:numPr>
        <w:pBdr>
          <w:top w:val="nil"/>
          <w:left w:val="nil"/>
          <w:bottom w:val="nil"/>
          <w:right w:val="nil"/>
          <w:between w:val="nil"/>
        </w:pBdr>
        <w:tabs>
          <w:tab w:val="left" w:pos="432"/>
          <w:tab w:val="left" w:pos="1774"/>
        </w:tabs>
        <w:spacing w:after="120" w:line="360" w:lineRule="auto"/>
        <w:jc w:val="both"/>
        <w:rPr>
          <w:rFonts w:ascii="Arial" w:eastAsia="Arial" w:hAnsi="Arial" w:cs="Arial"/>
          <w:color w:val="010000"/>
          <w:sz w:val="20"/>
          <w:szCs w:val="20"/>
        </w:rPr>
      </w:pPr>
      <w:r>
        <w:rPr>
          <w:rFonts w:ascii="Arial" w:hAnsi="Arial"/>
          <w:color w:val="010000"/>
          <w:sz w:val="20"/>
        </w:rPr>
        <w:t>Approve the au</w:t>
      </w:r>
      <w:r>
        <w:rPr>
          <w:rFonts w:ascii="Arial" w:hAnsi="Arial"/>
          <w:color w:val="010000"/>
          <w:sz w:val="20"/>
        </w:rPr>
        <w:t>thorization for the Board of Directors of the Company to approve the following contents:</w:t>
      </w:r>
    </w:p>
    <w:p w:rsidR="00F87CD8" w:rsidRDefault="0087242C" w:rsidP="009D7AB9">
      <w:pPr>
        <w:numPr>
          <w:ilvl w:val="1"/>
          <w:numId w:val="1"/>
        </w:numPr>
        <w:pBdr>
          <w:top w:val="nil"/>
          <w:left w:val="nil"/>
          <w:bottom w:val="nil"/>
          <w:right w:val="nil"/>
          <w:between w:val="nil"/>
        </w:pBdr>
        <w:tabs>
          <w:tab w:val="left" w:pos="432"/>
          <w:tab w:val="left" w:pos="1963"/>
        </w:tabs>
        <w:spacing w:after="120" w:line="360" w:lineRule="auto"/>
        <w:jc w:val="both"/>
        <w:rPr>
          <w:rFonts w:ascii="Arial" w:eastAsia="Arial" w:hAnsi="Arial" w:cs="Arial"/>
          <w:color w:val="010000"/>
          <w:sz w:val="20"/>
          <w:szCs w:val="20"/>
        </w:rPr>
      </w:pPr>
      <w:r>
        <w:rPr>
          <w:rFonts w:ascii="Arial" w:hAnsi="Arial"/>
          <w:color w:val="010000"/>
          <w:sz w:val="20"/>
        </w:rPr>
        <w:t xml:space="preserve">Select the appropriate time and location to relocate the Company's head office from </w:t>
      </w:r>
      <w:proofErr w:type="spellStart"/>
      <w:r>
        <w:rPr>
          <w:rFonts w:ascii="Arial" w:hAnsi="Arial"/>
          <w:color w:val="010000"/>
          <w:sz w:val="20"/>
        </w:rPr>
        <w:t>Muong</w:t>
      </w:r>
      <w:proofErr w:type="spellEnd"/>
      <w:r>
        <w:rPr>
          <w:rFonts w:ascii="Arial" w:hAnsi="Arial"/>
          <w:color w:val="010000"/>
          <w:sz w:val="20"/>
        </w:rPr>
        <w:t xml:space="preserve"> La District, Son La Province to Hoa Binh, or Hanoi City when necessary.</w:t>
      </w:r>
      <w:r>
        <w:rPr>
          <w:rFonts w:ascii="Arial" w:hAnsi="Arial"/>
          <w:color w:val="010000"/>
          <w:sz w:val="20"/>
        </w:rPr>
        <w:t xml:space="preserve"> </w:t>
      </w:r>
      <w:r>
        <w:rPr>
          <w:rFonts w:ascii="Arial" w:hAnsi="Arial"/>
          <w:color w:val="010000"/>
          <w:sz w:val="20"/>
        </w:rPr>
        <w:t>At the same time, approve the amendment of the Company's Charter of organization and operation, and Business registration when there is a change in the Company's head office as prescribed.</w:t>
      </w:r>
    </w:p>
    <w:p w:rsidR="00F87CD8" w:rsidRDefault="0087242C" w:rsidP="009D7AB9">
      <w:pPr>
        <w:numPr>
          <w:ilvl w:val="1"/>
          <w:numId w:val="1"/>
        </w:numPr>
        <w:pBdr>
          <w:top w:val="nil"/>
          <w:left w:val="nil"/>
          <w:bottom w:val="nil"/>
          <w:right w:val="nil"/>
          <w:between w:val="nil"/>
        </w:pBdr>
        <w:tabs>
          <w:tab w:val="left" w:pos="432"/>
          <w:tab w:val="left" w:pos="1963"/>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Board of Directors to explore the market, and at the </w:t>
      </w:r>
      <w:r>
        <w:rPr>
          <w:rFonts w:ascii="Arial" w:hAnsi="Arial"/>
          <w:color w:val="010000"/>
          <w:sz w:val="20"/>
        </w:rPr>
        <w:t>same time, seek partners to contribute capital for joint ventures and investment cooperation in real estate business; industrial park clusters and trading services, machinery and equipment, etc. in accordance with the financial needs and development orient</w:t>
      </w:r>
      <w:r>
        <w:rPr>
          <w:rFonts w:ascii="Arial" w:hAnsi="Arial"/>
          <w:color w:val="010000"/>
          <w:sz w:val="20"/>
        </w:rPr>
        <w:t>ation of the Company.</w:t>
      </w:r>
      <w:r>
        <w:rPr>
          <w:rFonts w:ascii="Arial" w:hAnsi="Arial"/>
          <w:color w:val="010000"/>
          <w:sz w:val="20"/>
        </w:rPr>
        <w:t xml:space="preserve"> </w:t>
      </w:r>
      <w:r>
        <w:rPr>
          <w:rFonts w:ascii="Arial" w:hAnsi="Arial"/>
          <w:color w:val="010000"/>
          <w:sz w:val="20"/>
        </w:rPr>
        <w:t>At the same time, be allowed to approve procedures and large investment values related to investment projects, sign contracts with contractors, joint venture and association contracts when it is recognized that there are urgent invest</w:t>
      </w:r>
      <w:r>
        <w:rPr>
          <w:rFonts w:ascii="Arial" w:hAnsi="Arial"/>
          <w:color w:val="010000"/>
          <w:sz w:val="20"/>
        </w:rPr>
        <w:t>ment opportunities that require timely decisions (if any) in order to bring efficiency, then be allowed to approve the implementation in accordance with the provisions of the Company's Charter and must report the investment implementation results through t</w:t>
      </w:r>
      <w:r>
        <w:rPr>
          <w:rFonts w:ascii="Arial" w:hAnsi="Arial"/>
          <w:color w:val="010000"/>
          <w:sz w:val="20"/>
        </w:rPr>
        <w:t>he nearest General Meeting of Shareholders.</w:t>
      </w:r>
    </w:p>
    <w:p w:rsidR="00F87CD8" w:rsidRDefault="0087242C" w:rsidP="009D7AB9">
      <w:pPr>
        <w:numPr>
          <w:ilvl w:val="1"/>
          <w:numId w:val="1"/>
        </w:numPr>
        <w:pBdr>
          <w:top w:val="nil"/>
          <w:left w:val="nil"/>
          <w:bottom w:val="nil"/>
          <w:right w:val="nil"/>
          <w:between w:val="nil"/>
        </w:pBdr>
        <w:tabs>
          <w:tab w:val="left" w:pos="432"/>
          <w:tab w:val="left" w:pos="1954"/>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adjustment of the production and business plan for 2024 to suit the reality when expanding investment, joint venture and association cooperation (if any)</w:t>
      </w:r>
    </w:p>
    <w:p w:rsidR="00F87CD8" w:rsidRDefault="0087242C" w:rsidP="009D7AB9">
      <w:pPr>
        <w:numPr>
          <w:ilvl w:val="1"/>
          <w:numId w:val="1"/>
        </w:numPr>
        <w:pBdr>
          <w:top w:val="nil"/>
          <w:left w:val="nil"/>
          <w:bottom w:val="nil"/>
          <w:right w:val="nil"/>
          <w:between w:val="nil"/>
        </w:pBdr>
        <w:tabs>
          <w:tab w:val="left" w:pos="432"/>
          <w:tab w:val="left" w:pos="1974"/>
        </w:tabs>
        <w:spacing w:after="120" w:line="360" w:lineRule="auto"/>
        <w:jc w:val="both"/>
        <w:rPr>
          <w:rFonts w:ascii="Arial" w:eastAsia="Arial" w:hAnsi="Arial" w:cs="Arial"/>
          <w:color w:val="010000"/>
          <w:sz w:val="20"/>
          <w:szCs w:val="20"/>
        </w:rPr>
      </w:pPr>
      <w:r>
        <w:rPr>
          <w:rFonts w:ascii="Arial" w:hAnsi="Arial"/>
          <w:color w:val="010000"/>
          <w:sz w:val="20"/>
        </w:rPr>
        <w:t>Approve the proposal to authorize the Board of</w:t>
      </w:r>
      <w:r>
        <w:rPr>
          <w:rFonts w:ascii="Arial" w:hAnsi="Arial"/>
          <w:color w:val="010000"/>
          <w:sz w:val="20"/>
        </w:rPr>
        <w:t xml:space="preserve"> Directors to:</w:t>
      </w:r>
    </w:p>
    <w:p w:rsidR="00F87CD8" w:rsidRDefault="0087242C" w:rsidP="009D7AB9">
      <w:pPr>
        <w:numPr>
          <w:ilvl w:val="0"/>
          <w:numId w:val="3"/>
        </w:numPr>
        <w:pBdr>
          <w:top w:val="nil"/>
          <w:left w:val="nil"/>
          <w:bottom w:val="nil"/>
          <w:right w:val="nil"/>
          <w:between w:val="nil"/>
        </w:pBdr>
        <w:tabs>
          <w:tab w:val="left" w:pos="432"/>
          <w:tab w:val="left" w:pos="1654"/>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direct the Company's Executive Management Board to continue actively working closely with the People'</w:t>
      </w:r>
      <w:r>
        <w:rPr>
          <w:rFonts w:ascii="Arial" w:hAnsi="Arial"/>
          <w:color w:val="010000"/>
          <w:sz w:val="20"/>
        </w:rPr>
        <w:t xml:space="preserve">s Committee of Quoc </w:t>
      </w:r>
      <w:proofErr w:type="spellStart"/>
      <w:r>
        <w:rPr>
          <w:rFonts w:ascii="Arial" w:hAnsi="Arial"/>
          <w:color w:val="010000"/>
          <w:sz w:val="20"/>
        </w:rPr>
        <w:t>Oai</w:t>
      </w:r>
      <w:proofErr w:type="spellEnd"/>
      <w:r>
        <w:rPr>
          <w:rFonts w:ascii="Arial" w:hAnsi="Arial"/>
          <w:color w:val="010000"/>
          <w:sz w:val="20"/>
        </w:rPr>
        <w:t xml:space="preserve"> District, relevant Departments and Agencies of Hanoi City to promptly grasp and remove existing problems and obstacles in the project, and at the same time submit to the Board of Directors for approval of legal document steps as pre</w:t>
      </w:r>
      <w:r>
        <w:rPr>
          <w:rFonts w:ascii="Arial" w:hAnsi="Arial"/>
          <w:color w:val="010000"/>
          <w:sz w:val="20"/>
        </w:rPr>
        <w:t>scribed.</w:t>
      </w:r>
    </w:p>
    <w:p w:rsidR="00F87CD8" w:rsidRDefault="0087242C" w:rsidP="009D7AB9">
      <w:pPr>
        <w:numPr>
          <w:ilvl w:val="0"/>
          <w:numId w:val="3"/>
        </w:numPr>
        <w:pBdr>
          <w:top w:val="nil"/>
          <w:left w:val="nil"/>
          <w:bottom w:val="nil"/>
          <w:right w:val="nil"/>
          <w:between w:val="nil"/>
        </w:pBdr>
        <w:tabs>
          <w:tab w:val="left" w:pos="432"/>
          <w:tab w:val="left" w:pos="1659"/>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approve the search for partners with sufficient capacity, select appropriate options and timing to call for investment and business cooperation; joint venture, association, increase the Company's charter capital</w:t>
      </w:r>
      <w:r>
        <w:rPr>
          <w:rFonts w:ascii="Arial" w:hAnsi="Arial"/>
          <w:color w:val="010000"/>
          <w:sz w:val="20"/>
        </w:rPr>
        <w:t xml:space="preserve"> or contribute share capital to establish a company to continue implementing project investment when necessary.</w:t>
      </w:r>
    </w:p>
    <w:p w:rsidR="00F87CD8" w:rsidRDefault="0087242C" w:rsidP="009D7AB9">
      <w:pPr>
        <w:numPr>
          <w:ilvl w:val="0"/>
          <w:numId w:val="3"/>
        </w:numPr>
        <w:pBdr>
          <w:top w:val="nil"/>
          <w:left w:val="nil"/>
          <w:bottom w:val="nil"/>
          <w:right w:val="nil"/>
          <w:between w:val="nil"/>
        </w:pBdr>
        <w:tabs>
          <w:tab w:val="left" w:pos="432"/>
          <w:tab w:val="left" w:pos="1650"/>
        </w:tabs>
        <w:spacing w:after="120" w:line="360" w:lineRule="auto"/>
        <w:jc w:val="both"/>
        <w:rPr>
          <w:rFonts w:ascii="Arial" w:eastAsia="Arial" w:hAnsi="Arial" w:cs="Arial"/>
          <w:color w:val="010000"/>
          <w:sz w:val="20"/>
          <w:szCs w:val="20"/>
        </w:rPr>
      </w:pPr>
      <w:r>
        <w:rPr>
          <w:rFonts w:ascii="Arial" w:hAnsi="Arial"/>
          <w:color w:val="010000"/>
          <w:sz w:val="20"/>
        </w:rPr>
        <w:t>Approve expenses for document preparation, hiring consultants to implement the project and other related expenses.</w:t>
      </w:r>
    </w:p>
    <w:p w:rsidR="00F87CD8" w:rsidRDefault="0087242C" w:rsidP="009D7AB9">
      <w:pPr>
        <w:numPr>
          <w:ilvl w:val="0"/>
          <w:numId w:val="3"/>
        </w:numPr>
        <w:pBdr>
          <w:top w:val="nil"/>
          <w:left w:val="nil"/>
          <w:bottom w:val="nil"/>
          <w:right w:val="nil"/>
          <w:between w:val="nil"/>
        </w:pBdr>
        <w:tabs>
          <w:tab w:val="left" w:pos="432"/>
          <w:tab w:val="left" w:pos="1654"/>
        </w:tabs>
        <w:spacing w:after="120" w:line="360" w:lineRule="auto"/>
        <w:jc w:val="both"/>
        <w:rPr>
          <w:rFonts w:ascii="Arial" w:eastAsia="Arial" w:hAnsi="Arial" w:cs="Arial"/>
          <w:color w:val="010000"/>
          <w:sz w:val="20"/>
          <w:szCs w:val="20"/>
        </w:rPr>
      </w:pPr>
      <w:r>
        <w:rPr>
          <w:rFonts w:ascii="Arial" w:hAnsi="Arial"/>
          <w:color w:val="010000"/>
          <w:sz w:val="20"/>
        </w:rPr>
        <w:t>Report the results of project implementation steps by each phase at the nearest General Meeting of Shareholders.</w:t>
      </w:r>
    </w:p>
    <w:p w:rsidR="00F87CD8" w:rsidRDefault="0087242C" w:rsidP="009D7AB9">
      <w:pPr>
        <w:keepNext/>
        <w:numPr>
          <w:ilvl w:val="0"/>
          <w:numId w:val="1"/>
        </w:numPr>
        <w:pBdr>
          <w:top w:val="nil"/>
          <w:left w:val="nil"/>
          <w:bottom w:val="nil"/>
          <w:right w:val="nil"/>
          <w:between w:val="nil"/>
        </w:pBdr>
        <w:tabs>
          <w:tab w:val="left" w:pos="432"/>
          <w:tab w:val="left" w:pos="1918"/>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plan to allow individuals to request to receive the transfer of voting shares in </w:t>
      </w:r>
      <w:proofErr w:type="spellStart"/>
      <w:r>
        <w:rPr>
          <w:rFonts w:ascii="Arial" w:hAnsi="Arial"/>
          <w:color w:val="010000"/>
          <w:sz w:val="20"/>
        </w:rPr>
        <w:t>Songda</w:t>
      </w:r>
      <w:proofErr w:type="spellEnd"/>
      <w:r>
        <w:rPr>
          <w:rFonts w:ascii="Arial" w:hAnsi="Arial"/>
          <w:color w:val="010000"/>
          <w:sz w:val="20"/>
        </w:rPr>
        <w:t xml:space="preserve"> 7 JSC.</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proofErr w:type="gramStart"/>
      <w:r>
        <w:rPr>
          <w:rFonts w:ascii="Arial" w:hAnsi="Arial"/>
          <w:color w:val="010000"/>
          <w:sz w:val="20"/>
        </w:rPr>
        <w:t>‎‎Article 2.</w:t>
      </w:r>
      <w:proofErr w:type="gramEnd"/>
      <w:r>
        <w:rPr>
          <w:rFonts w:ascii="Arial" w:hAnsi="Arial"/>
          <w:color w:val="010000"/>
          <w:sz w:val="20"/>
        </w:rPr>
        <w:t xml:space="preserve"> </w:t>
      </w:r>
      <w:r>
        <w:rPr>
          <w:rFonts w:ascii="Arial" w:hAnsi="Arial"/>
          <w:color w:val="010000"/>
          <w:sz w:val="20"/>
        </w:rPr>
        <w:t xml:space="preserve">The General Meeting of Shareholders assigns the Board of Directors and the Executive Board of </w:t>
      </w:r>
      <w:proofErr w:type="spellStart"/>
      <w:r>
        <w:rPr>
          <w:rFonts w:ascii="Arial" w:hAnsi="Arial"/>
          <w:color w:val="010000"/>
          <w:sz w:val="20"/>
        </w:rPr>
        <w:t>Songda</w:t>
      </w:r>
      <w:proofErr w:type="spellEnd"/>
      <w:r>
        <w:rPr>
          <w:rFonts w:ascii="Arial" w:hAnsi="Arial"/>
          <w:color w:val="010000"/>
          <w:sz w:val="20"/>
        </w:rPr>
        <w:t xml:space="preserve"> 7 JSC to deploy and implement the above contents in accordance with the provisions of the Law and the Company's Charter of organization and operation.</w:t>
      </w:r>
    </w:p>
    <w:p w:rsidR="00F87CD8" w:rsidRDefault="0087242C" w:rsidP="009D7AB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Pr>
          <w:rFonts w:ascii="Arial" w:hAnsi="Arial"/>
          <w:color w:val="010000"/>
          <w:sz w:val="20"/>
        </w:rPr>
        <w:t>‎‎Ar</w:t>
      </w:r>
      <w:r>
        <w:rPr>
          <w:rFonts w:ascii="Arial" w:hAnsi="Arial"/>
          <w:color w:val="010000"/>
          <w:sz w:val="20"/>
        </w:rPr>
        <w:t>ticle 3.</w:t>
      </w:r>
      <w:proofErr w:type="gramEnd"/>
      <w:r>
        <w:rPr>
          <w:rFonts w:ascii="Arial" w:hAnsi="Arial"/>
          <w:color w:val="010000"/>
          <w:sz w:val="20"/>
        </w:rPr>
        <w:t xml:space="preserve"> The Board of Directors, the Supervisory Board, the Board of Management of the Company and related persons shall implement this General Mandate.</w:t>
      </w:r>
    </w:p>
    <w:sectPr w:rsidR="00F87CD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86"/>
    <w:multiLevelType w:val="multilevel"/>
    <w:tmpl w:val="59A8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6F1CAE"/>
    <w:multiLevelType w:val="multilevel"/>
    <w:tmpl w:val="0E7E6978"/>
    <w:lvl w:ilvl="0">
      <w:start w:val="1"/>
      <w:numFmt w:val="decimal"/>
      <w:lvlText w:val="%1."/>
      <w:lvlJc w:val="left"/>
      <w:pPr>
        <w:ind w:left="0" w:firstLine="0"/>
      </w:pPr>
      <w:rPr>
        <w:rFonts w:ascii="Arial" w:eastAsia="Arial" w:hAnsi="Arial" w:cs="Arial"/>
        <w:b w:val="0"/>
        <w:i w:val="0"/>
        <w:smallCaps w:val="0"/>
        <w:strike w:val="0"/>
        <w:color w:val="4B4B5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594B5C"/>
    <w:multiLevelType w:val="multilevel"/>
    <w:tmpl w:val="7D6889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ABD135C"/>
    <w:multiLevelType w:val="multilevel"/>
    <w:tmpl w:val="EB641062"/>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F87CD8"/>
    <w:rsid w:val="0039263D"/>
    <w:rsid w:val="0087242C"/>
    <w:rsid w:val="009D7AB9"/>
    <w:rsid w:val="00F8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4B4B53"/>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F46D8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rPr>
      <w:rFonts w:ascii="Arial" w:eastAsia="Arial" w:hAnsi="Arial" w:cs="Arial"/>
      <w:color w:val="4B4B53"/>
      <w:sz w:val="34"/>
      <w:szCs w:val="34"/>
    </w:rPr>
  </w:style>
  <w:style w:type="paragraph" w:customStyle="1" w:styleId="Heading11">
    <w:name w:val="Heading #1"/>
    <w:basedOn w:val="Normal"/>
    <w:link w:val="Heading10"/>
    <w:pPr>
      <w:spacing w:line="180" w:lineRule="auto"/>
      <w:outlineLvl w:val="0"/>
    </w:pPr>
    <w:rPr>
      <w:rFonts w:ascii="Arial" w:eastAsia="Arial" w:hAnsi="Arial" w:cs="Arial"/>
      <w:smallCaps/>
      <w:sz w:val="44"/>
      <w:szCs w:val="44"/>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Heading21">
    <w:name w:val="Heading #2"/>
    <w:basedOn w:val="Normal"/>
    <w:link w:val="Heading20"/>
    <w:pPr>
      <w:spacing w:line="262" w:lineRule="auto"/>
      <w:ind w:left="1410" w:firstLine="290"/>
      <w:outlineLvl w:val="1"/>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Arial" w:eastAsia="Arial" w:hAnsi="Arial" w:cs="Arial"/>
      <w:i/>
      <w:iCs/>
      <w:color w:val="F46D80"/>
      <w:sz w:val="15"/>
      <w:szCs w:val="15"/>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4B4B53"/>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F46D8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rPr>
      <w:rFonts w:ascii="Arial" w:eastAsia="Arial" w:hAnsi="Arial" w:cs="Arial"/>
      <w:color w:val="4B4B53"/>
      <w:sz w:val="34"/>
      <w:szCs w:val="34"/>
    </w:rPr>
  </w:style>
  <w:style w:type="paragraph" w:customStyle="1" w:styleId="Heading11">
    <w:name w:val="Heading #1"/>
    <w:basedOn w:val="Normal"/>
    <w:link w:val="Heading10"/>
    <w:pPr>
      <w:spacing w:line="180" w:lineRule="auto"/>
      <w:outlineLvl w:val="0"/>
    </w:pPr>
    <w:rPr>
      <w:rFonts w:ascii="Arial" w:eastAsia="Arial" w:hAnsi="Arial" w:cs="Arial"/>
      <w:smallCaps/>
      <w:sz w:val="44"/>
      <w:szCs w:val="44"/>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Heading21">
    <w:name w:val="Heading #2"/>
    <w:basedOn w:val="Normal"/>
    <w:link w:val="Heading20"/>
    <w:pPr>
      <w:spacing w:line="262" w:lineRule="auto"/>
      <w:ind w:left="1410" w:firstLine="290"/>
      <w:outlineLvl w:val="1"/>
    </w:pPr>
    <w:rPr>
      <w:rFonts w:ascii="Times New Roman" w:eastAsia="Times New Roman" w:hAnsi="Times New Roman" w:cs="Times New Roman"/>
      <w:b/>
      <w:bCs/>
      <w:sz w:val="26"/>
      <w:szCs w:val="26"/>
    </w:rPr>
  </w:style>
  <w:style w:type="paragraph" w:customStyle="1" w:styleId="Bodytext50">
    <w:name w:val="Body text (5)"/>
    <w:basedOn w:val="Normal"/>
    <w:link w:val="Bodytext5"/>
    <w:rPr>
      <w:rFonts w:ascii="Arial" w:eastAsia="Arial" w:hAnsi="Arial" w:cs="Arial"/>
      <w:i/>
      <w:iCs/>
      <w:color w:val="F46D80"/>
      <w:sz w:val="15"/>
      <w:szCs w:val="15"/>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Q8pDr+LhZifFaLVIzfMYsAlGVQ==">CgMxLjAyCGguZ2pkZ3hzOAByITFMLTNZWlJwdkw2bl8tcHdsdkRHcUFCTWhCcjhvalNGVw==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969</Words>
  <Characters>5527</Characters>
  <Application>Microsoft Office Word</Application>
  <DocSecurity>0</DocSecurity>
  <Lines>46</Lines>
  <Paragraphs>12</Paragraphs>
  <ScaleCrop>false</ScaleCrop>
  <Company>Hewlett-Packard Company</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2024-05-03T03:49:00Z</dcterms:created>
  <dcterms:modified xsi:type="dcterms:W3CDTF">2024-05-04T04:14:00Z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a1a706b9ebb78ea28e535a601198354e9ef589493994218dd3c79c44925bc879</vt:lpwstr>
  </property>
</Properties>
</file>