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718CC" w14:textId="77777777" w:rsidR="00AF3C17" w:rsidRPr="00B66A65" w:rsidRDefault="0049705D" w:rsidP="00F00BE3">
      <w:pPr>
        <w:pBdr>
          <w:top w:val="nil"/>
          <w:left w:val="nil"/>
          <w:bottom w:val="nil"/>
          <w:right w:val="nil"/>
          <w:between w:val="nil"/>
        </w:pBdr>
        <w:tabs>
          <w:tab w:val="left" w:pos="284"/>
          <w:tab w:val="left" w:pos="5529"/>
          <w:tab w:val="left" w:pos="6521"/>
        </w:tabs>
        <w:spacing w:after="120" w:line="360" w:lineRule="auto"/>
        <w:jc w:val="both"/>
        <w:rPr>
          <w:rFonts w:ascii="Arial" w:eastAsia="Arial" w:hAnsi="Arial" w:cs="Arial"/>
          <w:b/>
          <w:color w:val="000000" w:themeColor="text1"/>
          <w:sz w:val="20"/>
          <w:szCs w:val="20"/>
        </w:rPr>
      </w:pPr>
      <w:r w:rsidRPr="00B66A65">
        <w:rPr>
          <w:rFonts w:ascii="Arial" w:hAnsi="Arial"/>
          <w:b/>
          <w:color w:val="000000" w:themeColor="text1"/>
          <w:sz w:val="20"/>
        </w:rPr>
        <w:t>SED: Annual General Mandate 2024</w:t>
      </w:r>
    </w:p>
    <w:p w14:paraId="2B7F0348" w14:textId="3182A2C9" w:rsidR="00AF3C17" w:rsidRPr="00B66A65" w:rsidRDefault="0049705D" w:rsidP="00F00BE3">
      <w:pPr>
        <w:pBdr>
          <w:top w:val="nil"/>
          <w:left w:val="nil"/>
          <w:bottom w:val="nil"/>
          <w:right w:val="nil"/>
          <w:between w:val="nil"/>
        </w:pBdr>
        <w:tabs>
          <w:tab w:val="left" w:pos="284"/>
          <w:tab w:val="left" w:pos="5529"/>
        </w:tabs>
        <w:spacing w:after="120" w:line="360" w:lineRule="auto"/>
        <w:jc w:val="both"/>
        <w:rPr>
          <w:rFonts w:ascii="Arial" w:eastAsia="Arial" w:hAnsi="Arial" w:cs="Arial"/>
          <w:color w:val="000000" w:themeColor="text1"/>
          <w:sz w:val="20"/>
          <w:szCs w:val="20"/>
        </w:rPr>
      </w:pPr>
      <w:r w:rsidRPr="00B66A65">
        <w:rPr>
          <w:rFonts w:ascii="Arial" w:hAnsi="Arial"/>
          <w:color w:val="000000" w:themeColor="text1"/>
          <w:sz w:val="20"/>
        </w:rPr>
        <w:t>On April 22, 2024, Phuong Nam Education Investment and Development JSC announced General Mandate No. 15/NQDHCD-SED as follows:</w:t>
      </w:r>
    </w:p>
    <w:p w14:paraId="42ADAB56" w14:textId="77777777" w:rsidR="00AF3C17" w:rsidRPr="00B66A65" w:rsidRDefault="0049705D" w:rsidP="00F00BE3">
      <w:pPr>
        <w:pBdr>
          <w:top w:val="nil"/>
          <w:left w:val="nil"/>
          <w:bottom w:val="nil"/>
          <w:right w:val="nil"/>
          <w:between w:val="nil"/>
        </w:pBdr>
        <w:tabs>
          <w:tab w:val="left" w:pos="284"/>
        </w:tabs>
        <w:spacing w:after="120" w:line="360" w:lineRule="auto"/>
        <w:jc w:val="both"/>
        <w:rPr>
          <w:rFonts w:ascii="Arial" w:eastAsia="Arial" w:hAnsi="Arial" w:cs="Arial"/>
          <w:color w:val="000000" w:themeColor="text1"/>
          <w:sz w:val="20"/>
          <w:szCs w:val="20"/>
        </w:rPr>
      </w:pPr>
      <w:r w:rsidRPr="00B66A65">
        <w:rPr>
          <w:rFonts w:ascii="Arial" w:hAnsi="Arial"/>
          <w:color w:val="000000" w:themeColor="text1"/>
          <w:sz w:val="20"/>
        </w:rPr>
        <w:t>Article 1: Approve the Report of the Board of Directors on operational results in 2023 and operational plan in 2024</w:t>
      </w:r>
    </w:p>
    <w:p w14:paraId="1B92D557" w14:textId="77777777" w:rsidR="00AF3C17" w:rsidRPr="00B66A65" w:rsidRDefault="0049705D" w:rsidP="00F00BE3">
      <w:pPr>
        <w:pBdr>
          <w:top w:val="nil"/>
          <w:left w:val="nil"/>
          <w:bottom w:val="nil"/>
          <w:right w:val="nil"/>
          <w:between w:val="nil"/>
        </w:pBdr>
        <w:tabs>
          <w:tab w:val="left" w:pos="284"/>
        </w:tabs>
        <w:spacing w:after="120" w:line="360" w:lineRule="auto"/>
        <w:jc w:val="both"/>
        <w:rPr>
          <w:rFonts w:ascii="Arial" w:eastAsia="Arial" w:hAnsi="Arial" w:cs="Arial"/>
          <w:color w:val="000000" w:themeColor="text1"/>
          <w:sz w:val="20"/>
          <w:szCs w:val="20"/>
        </w:rPr>
      </w:pPr>
      <w:r w:rsidRPr="00B66A65">
        <w:rPr>
          <w:rFonts w:ascii="Arial" w:hAnsi="Arial"/>
          <w:color w:val="000000" w:themeColor="text1"/>
          <w:sz w:val="20"/>
        </w:rPr>
        <w:t>Article 2: Approve the Report of the Board of Management on the production and business results in 2023 and the production and business plan for 2024</w:t>
      </w:r>
    </w:p>
    <w:p w14:paraId="6B0F2EF0" w14:textId="77777777" w:rsidR="00AF3C17" w:rsidRPr="00B66A65" w:rsidRDefault="0049705D" w:rsidP="0049705D">
      <w:pPr>
        <w:numPr>
          <w:ilvl w:val="0"/>
          <w:numId w:val="3"/>
        </w:numPr>
        <w:pBdr>
          <w:top w:val="nil"/>
          <w:left w:val="nil"/>
          <w:bottom w:val="nil"/>
          <w:right w:val="nil"/>
          <w:between w:val="nil"/>
        </w:pBdr>
        <w:tabs>
          <w:tab w:val="left" w:pos="284"/>
        </w:tabs>
        <w:spacing w:after="120" w:line="360" w:lineRule="auto"/>
        <w:rPr>
          <w:rFonts w:ascii="Arial" w:eastAsia="Arial" w:hAnsi="Arial" w:cs="Arial"/>
          <w:color w:val="000000" w:themeColor="text1"/>
          <w:sz w:val="20"/>
          <w:szCs w:val="20"/>
        </w:rPr>
      </w:pPr>
      <w:r w:rsidRPr="00B66A65">
        <w:rPr>
          <w:rFonts w:ascii="Arial" w:hAnsi="Arial"/>
          <w:color w:val="000000" w:themeColor="text1"/>
          <w:sz w:val="20"/>
        </w:rPr>
        <w:t>Production and business results in 2023</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2"/>
        <w:gridCol w:w="1709"/>
        <w:gridCol w:w="1064"/>
        <w:gridCol w:w="1078"/>
        <w:gridCol w:w="1136"/>
        <w:gridCol w:w="992"/>
        <w:gridCol w:w="1143"/>
        <w:gridCol w:w="1262"/>
      </w:tblGrid>
      <w:tr w:rsidR="00B66A65" w:rsidRPr="00B66A65" w14:paraId="1B65995E" w14:textId="77777777" w:rsidTr="0049705D">
        <w:tc>
          <w:tcPr>
            <w:tcW w:w="350" w:type="pct"/>
            <w:shd w:val="clear" w:color="auto" w:fill="auto"/>
            <w:tcMar>
              <w:top w:w="0" w:type="dxa"/>
              <w:bottom w:w="0" w:type="dxa"/>
            </w:tcMar>
            <w:vAlign w:val="center"/>
          </w:tcPr>
          <w:p w14:paraId="4088A034"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No.</w:t>
            </w:r>
          </w:p>
        </w:tc>
        <w:tc>
          <w:tcPr>
            <w:tcW w:w="948" w:type="pct"/>
            <w:shd w:val="clear" w:color="auto" w:fill="auto"/>
            <w:tcMar>
              <w:top w:w="0" w:type="dxa"/>
              <w:bottom w:w="0" w:type="dxa"/>
            </w:tcMar>
            <w:vAlign w:val="center"/>
          </w:tcPr>
          <w:p w14:paraId="5476BDD6"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Content</w:t>
            </w:r>
          </w:p>
        </w:tc>
        <w:tc>
          <w:tcPr>
            <w:tcW w:w="590" w:type="pct"/>
            <w:shd w:val="clear" w:color="auto" w:fill="auto"/>
            <w:tcMar>
              <w:top w:w="0" w:type="dxa"/>
              <w:bottom w:w="0" w:type="dxa"/>
            </w:tcMar>
            <w:vAlign w:val="center"/>
          </w:tcPr>
          <w:p w14:paraId="6A5D9780"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Unit</w:t>
            </w:r>
          </w:p>
        </w:tc>
        <w:tc>
          <w:tcPr>
            <w:tcW w:w="598" w:type="pct"/>
            <w:shd w:val="clear" w:color="auto" w:fill="auto"/>
            <w:tcMar>
              <w:top w:w="0" w:type="dxa"/>
              <w:bottom w:w="0" w:type="dxa"/>
            </w:tcMar>
            <w:vAlign w:val="center"/>
          </w:tcPr>
          <w:p w14:paraId="238A04C2"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Plan 2023</w:t>
            </w:r>
          </w:p>
        </w:tc>
        <w:tc>
          <w:tcPr>
            <w:tcW w:w="630" w:type="pct"/>
            <w:shd w:val="clear" w:color="auto" w:fill="auto"/>
            <w:tcMar>
              <w:top w:w="0" w:type="dxa"/>
              <w:bottom w:w="0" w:type="dxa"/>
            </w:tcMar>
            <w:vAlign w:val="center"/>
          </w:tcPr>
          <w:p w14:paraId="00E5589A" w14:textId="0C3EEE32"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 xml:space="preserve">Results </w:t>
            </w:r>
            <w:r w:rsidR="00B66A65" w:rsidRPr="00B66A65">
              <w:rPr>
                <w:rFonts w:ascii="Arial" w:hAnsi="Arial"/>
                <w:color w:val="000000" w:themeColor="text1"/>
                <w:sz w:val="20"/>
              </w:rPr>
              <w:t xml:space="preserve">in </w:t>
            </w:r>
            <w:r w:rsidRPr="00B66A65">
              <w:rPr>
                <w:rFonts w:ascii="Arial" w:hAnsi="Arial"/>
                <w:color w:val="000000" w:themeColor="text1"/>
                <w:sz w:val="20"/>
              </w:rPr>
              <w:t>2023</w:t>
            </w:r>
          </w:p>
        </w:tc>
        <w:tc>
          <w:tcPr>
            <w:tcW w:w="550" w:type="pct"/>
            <w:shd w:val="clear" w:color="auto" w:fill="auto"/>
            <w:tcMar>
              <w:top w:w="0" w:type="dxa"/>
              <w:bottom w:w="0" w:type="dxa"/>
            </w:tcMar>
            <w:vAlign w:val="center"/>
          </w:tcPr>
          <w:p w14:paraId="7984C26A" w14:textId="0BD1B96B"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Results</w:t>
            </w:r>
            <w:r w:rsidR="00B66A65" w:rsidRPr="00B66A65">
              <w:rPr>
                <w:rFonts w:ascii="Arial" w:hAnsi="Arial"/>
                <w:color w:val="000000" w:themeColor="text1"/>
                <w:sz w:val="20"/>
              </w:rPr>
              <w:t xml:space="preserve"> in</w:t>
            </w:r>
            <w:r w:rsidRPr="00B66A65">
              <w:rPr>
                <w:rFonts w:ascii="Arial" w:hAnsi="Arial"/>
                <w:color w:val="000000" w:themeColor="text1"/>
                <w:sz w:val="20"/>
              </w:rPr>
              <w:t xml:space="preserve"> 2022</w:t>
            </w:r>
          </w:p>
        </w:tc>
        <w:tc>
          <w:tcPr>
            <w:tcW w:w="634" w:type="pct"/>
            <w:shd w:val="clear" w:color="auto" w:fill="auto"/>
            <w:tcMar>
              <w:top w:w="0" w:type="dxa"/>
              <w:bottom w:w="0" w:type="dxa"/>
            </w:tcMar>
            <w:vAlign w:val="center"/>
          </w:tcPr>
          <w:p w14:paraId="75235EBB" w14:textId="77777777" w:rsidR="00AF3C17" w:rsidRPr="00B66A65" w:rsidRDefault="00AF3C17"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p>
          <w:p w14:paraId="68F62BD6" w14:textId="07C303C8"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 xml:space="preserve">Results/Plan </w:t>
            </w:r>
          </w:p>
        </w:tc>
        <w:tc>
          <w:tcPr>
            <w:tcW w:w="700" w:type="pct"/>
            <w:shd w:val="clear" w:color="auto" w:fill="auto"/>
            <w:tcMar>
              <w:top w:w="0" w:type="dxa"/>
              <w:bottom w:w="0" w:type="dxa"/>
            </w:tcMar>
            <w:vAlign w:val="center"/>
          </w:tcPr>
          <w:p w14:paraId="46FC8CFB" w14:textId="77777777" w:rsidR="00AF3C17" w:rsidRPr="00B66A65" w:rsidRDefault="00AF3C17"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p>
          <w:p w14:paraId="61B943A9" w14:textId="6BD50B62"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 xml:space="preserve">Results </w:t>
            </w:r>
            <w:r w:rsidR="00B66A65" w:rsidRPr="00B66A65">
              <w:rPr>
                <w:rFonts w:ascii="Arial" w:hAnsi="Arial"/>
                <w:color w:val="000000" w:themeColor="text1"/>
                <w:sz w:val="20"/>
              </w:rPr>
              <w:t xml:space="preserve">in </w:t>
            </w:r>
            <w:r w:rsidRPr="00B66A65">
              <w:rPr>
                <w:rFonts w:ascii="Arial" w:hAnsi="Arial"/>
                <w:color w:val="000000" w:themeColor="text1"/>
                <w:sz w:val="20"/>
              </w:rPr>
              <w:t>2023/2022</w:t>
            </w:r>
          </w:p>
        </w:tc>
      </w:tr>
      <w:tr w:rsidR="00B66A65" w:rsidRPr="00B66A65" w14:paraId="0CEC83C9" w14:textId="77777777" w:rsidTr="0049705D">
        <w:tc>
          <w:tcPr>
            <w:tcW w:w="350" w:type="pct"/>
            <w:shd w:val="clear" w:color="auto" w:fill="auto"/>
            <w:tcMar>
              <w:top w:w="0" w:type="dxa"/>
              <w:bottom w:w="0" w:type="dxa"/>
            </w:tcMar>
            <w:vAlign w:val="center"/>
          </w:tcPr>
          <w:p w14:paraId="23B95F00"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1</w:t>
            </w:r>
          </w:p>
        </w:tc>
        <w:tc>
          <w:tcPr>
            <w:tcW w:w="948" w:type="pct"/>
            <w:shd w:val="clear" w:color="auto" w:fill="auto"/>
            <w:tcMar>
              <w:top w:w="0" w:type="dxa"/>
              <w:bottom w:w="0" w:type="dxa"/>
            </w:tcMar>
            <w:vAlign w:val="center"/>
          </w:tcPr>
          <w:p w14:paraId="197E5127" w14:textId="77777777" w:rsidR="00AF3C17" w:rsidRPr="00B66A65" w:rsidRDefault="0049705D" w:rsidP="0049705D">
            <w:pPr>
              <w:pBdr>
                <w:top w:val="nil"/>
                <w:left w:val="nil"/>
                <w:bottom w:val="nil"/>
                <w:right w:val="nil"/>
                <w:between w:val="nil"/>
              </w:pBdr>
              <w:tabs>
                <w:tab w:val="left" w:pos="284"/>
              </w:tabs>
              <w:spacing w:after="120" w:line="360" w:lineRule="auto"/>
              <w:rPr>
                <w:rFonts w:ascii="Arial" w:eastAsia="Arial" w:hAnsi="Arial" w:cs="Arial"/>
                <w:color w:val="000000" w:themeColor="text1"/>
                <w:sz w:val="20"/>
                <w:szCs w:val="20"/>
              </w:rPr>
            </w:pPr>
            <w:r w:rsidRPr="00B66A65">
              <w:rPr>
                <w:rFonts w:ascii="Arial" w:hAnsi="Arial"/>
                <w:color w:val="000000" w:themeColor="text1"/>
                <w:sz w:val="20"/>
              </w:rPr>
              <w:t>Total revenue</w:t>
            </w:r>
          </w:p>
        </w:tc>
        <w:tc>
          <w:tcPr>
            <w:tcW w:w="590" w:type="pct"/>
            <w:shd w:val="clear" w:color="auto" w:fill="auto"/>
            <w:tcMar>
              <w:top w:w="0" w:type="dxa"/>
              <w:bottom w:w="0" w:type="dxa"/>
            </w:tcMar>
            <w:vAlign w:val="center"/>
          </w:tcPr>
          <w:p w14:paraId="1DFC09F4"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Billion VND</w:t>
            </w:r>
          </w:p>
        </w:tc>
        <w:tc>
          <w:tcPr>
            <w:tcW w:w="598" w:type="pct"/>
            <w:shd w:val="clear" w:color="auto" w:fill="auto"/>
            <w:tcMar>
              <w:top w:w="0" w:type="dxa"/>
              <w:bottom w:w="0" w:type="dxa"/>
            </w:tcMar>
            <w:vAlign w:val="center"/>
          </w:tcPr>
          <w:p w14:paraId="6916A5BD"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950</w:t>
            </w:r>
          </w:p>
        </w:tc>
        <w:tc>
          <w:tcPr>
            <w:tcW w:w="630" w:type="pct"/>
            <w:shd w:val="clear" w:color="auto" w:fill="auto"/>
            <w:tcMar>
              <w:top w:w="0" w:type="dxa"/>
              <w:bottom w:w="0" w:type="dxa"/>
            </w:tcMar>
            <w:vAlign w:val="center"/>
          </w:tcPr>
          <w:p w14:paraId="24E1242B"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1,044</w:t>
            </w:r>
          </w:p>
        </w:tc>
        <w:tc>
          <w:tcPr>
            <w:tcW w:w="550" w:type="pct"/>
            <w:shd w:val="clear" w:color="auto" w:fill="auto"/>
            <w:tcMar>
              <w:top w:w="0" w:type="dxa"/>
              <w:bottom w:w="0" w:type="dxa"/>
            </w:tcMar>
            <w:vAlign w:val="center"/>
          </w:tcPr>
          <w:p w14:paraId="6C355DA9"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907</w:t>
            </w:r>
          </w:p>
        </w:tc>
        <w:tc>
          <w:tcPr>
            <w:tcW w:w="634" w:type="pct"/>
            <w:shd w:val="clear" w:color="auto" w:fill="auto"/>
            <w:tcMar>
              <w:top w:w="0" w:type="dxa"/>
              <w:bottom w:w="0" w:type="dxa"/>
            </w:tcMar>
            <w:vAlign w:val="center"/>
          </w:tcPr>
          <w:p w14:paraId="565706A4"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110%</w:t>
            </w:r>
          </w:p>
        </w:tc>
        <w:tc>
          <w:tcPr>
            <w:tcW w:w="700" w:type="pct"/>
            <w:shd w:val="clear" w:color="auto" w:fill="auto"/>
            <w:tcMar>
              <w:top w:w="0" w:type="dxa"/>
              <w:bottom w:w="0" w:type="dxa"/>
            </w:tcMar>
            <w:vAlign w:val="center"/>
          </w:tcPr>
          <w:p w14:paraId="63A6B14B"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115%</w:t>
            </w:r>
          </w:p>
        </w:tc>
      </w:tr>
      <w:tr w:rsidR="00B66A65" w:rsidRPr="00B66A65" w14:paraId="5C9920AA" w14:textId="77777777" w:rsidTr="0049705D">
        <w:tc>
          <w:tcPr>
            <w:tcW w:w="350" w:type="pct"/>
            <w:shd w:val="clear" w:color="auto" w:fill="auto"/>
            <w:tcMar>
              <w:top w:w="0" w:type="dxa"/>
              <w:bottom w:w="0" w:type="dxa"/>
            </w:tcMar>
            <w:vAlign w:val="center"/>
          </w:tcPr>
          <w:p w14:paraId="68885AF5"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2</w:t>
            </w:r>
          </w:p>
        </w:tc>
        <w:tc>
          <w:tcPr>
            <w:tcW w:w="948" w:type="pct"/>
            <w:shd w:val="clear" w:color="auto" w:fill="auto"/>
            <w:tcMar>
              <w:top w:w="0" w:type="dxa"/>
              <w:bottom w:w="0" w:type="dxa"/>
            </w:tcMar>
            <w:vAlign w:val="center"/>
          </w:tcPr>
          <w:p w14:paraId="521657E6" w14:textId="77777777" w:rsidR="00AF3C17" w:rsidRPr="00B66A65" w:rsidRDefault="0049705D" w:rsidP="0049705D">
            <w:pPr>
              <w:pBdr>
                <w:top w:val="nil"/>
                <w:left w:val="nil"/>
                <w:bottom w:val="nil"/>
                <w:right w:val="nil"/>
                <w:between w:val="nil"/>
              </w:pBdr>
              <w:tabs>
                <w:tab w:val="left" w:pos="284"/>
              </w:tabs>
              <w:spacing w:after="120" w:line="360" w:lineRule="auto"/>
              <w:rPr>
                <w:rFonts w:ascii="Arial" w:eastAsia="Arial" w:hAnsi="Arial" w:cs="Arial"/>
                <w:color w:val="000000" w:themeColor="text1"/>
                <w:sz w:val="20"/>
                <w:szCs w:val="20"/>
              </w:rPr>
            </w:pPr>
            <w:r w:rsidRPr="00B66A65">
              <w:rPr>
                <w:rFonts w:ascii="Arial" w:hAnsi="Arial"/>
                <w:color w:val="000000" w:themeColor="text1"/>
                <w:sz w:val="20"/>
              </w:rPr>
              <w:t>Profit before tax</w:t>
            </w:r>
          </w:p>
        </w:tc>
        <w:tc>
          <w:tcPr>
            <w:tcW w:w="590" w:type="pct"/>
            <w:shd w:val="clear" w:color="auto" w:fill="auto"/>
            <w:tcMar>
              <w:top w:w="0" w:type="dxa"/>
              <w:bottom w:w="0" w:type="dxa"/>
            </w:tcMar>
            <w:vAlign w:val="center"/>
          </w:tcPr>
          <w:p w14:paraId="3E36E5CD"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Billion VND</w:t>
            </w:r>
          </w:p>
        </w:tc>
        <w:tc>
          <w:tcPr>
            <w:tcW w:w="598" w:type="pct"/>
            <w:shd w:val="clear" w:color="auto" w:fill="auto"/>
            <w:tcMar>
              <w:top w:w="0" w:type="dxa"/>
              <w:bottom w:w="0" w:type="dxa"/>
            </w:tcMar>
            <w:vAlign w:val="center"/>
          </w:tcPr>
          <w:p w14:paraId="5B1ABBBE"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52</w:t>
            </w:r>
          </w:p>
        </w:tc>
        <w:tc>
          <w:tcPr>
            <w:tcW w:w="630" w:type="pct"/>
            <w:shd w:val="clear" w:color="auto" w:fill="auto"/>
            <w:tcMar>
              <w:top w:w="0" w:type="dxa"/>
              <w:bottom w:w="0" w:type="dxa"/>
            </w:tcMar>
            <w:vAlign w:val="center"/>
          </w:tcPr>
          <w:p w14:paraId="2BA152CC"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57.5</w:t>
            </w:r>
          </w:p>
        </w:tc>
        <w:tc>
          <w:tcPr>
            <w:tcW w:w="550" w:type="pct"/>
            <w:shd w:val="clear" w:color="auto" w:fill="auto"/>
            <w:tcMar>
              <w:top w:w="0" w:type="dxa"/>
              <w:bottom w:w="0" w:type="dxa"/>
            </w:tcMar>
            <w:vAlign w:val="center"/>
          </w:tcPr>
          <w:p w14:paraId="66F22FBA"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51.6</w:t>
            </w:r>
          </w:p>
        </w:tc>
        <w:tc>
          <w:tcPr>
            <w:tcW w:w="634" w:type="pct"/>
            <w:shd w:val="clear" w:color="auto" w:fill="auto"/>
            <w:tcMar>
              <w:top w:w="0" w:type="dxa"/>
              <w:bottom w:w="0" w:type="dxa"/>
            </w:tcMar>
            <w:vAlign w:val="center"/>
          </w:tcPr>
          <w:p w14:paraId="741DE7AE"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110%</w:t>
            </w:r>
          </w:p>
        </w:tc>
        <w:tc>
          <w:tcPr>
            <w:tcW w:w="700" w:type="pct"/>
            <w:shd w:val="clear" w:color="auto" w:fill="auto"/>
            <w:tcMar>
              <w:top w:w="0" w:type="dxa"/>
              <w:bottom w:w="0" w:type="dxa"/>
            </w:tcMar>
            <w:vAlign w:val="center"/>
          </w:tcPr>
          <w:p w14:paraId="3A4DFABE"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111%</w:t>
            </w:r>
          </w:p>
        </w:tc>
      </w:tr>
    </w:tbl>
    <w:p w14:paraId="79870B32" w14:textId="63805788" w:rsidR="00AF3C17" w:rsidRPr="00B66A65" w:rsidRDefault="0049705D" w:rsidP="0049705D">
      <w:pPr>
        <w:numPr>
          <w:ilvl w:val="0"/>
          <w:numId w:val="3"/>
        </w:numPr>
        <w:pBdr>
          <w:top w:val="nil"/>
          <w:left w:val="nil"/>
          <w:bottom w:val="nil"/>
          <w:right w:val="nil"/>
          <w:between w:val="nil"/>
        </w:pBdr>
        <w:tabs>
          <w:tab w:val="left" w:pos="284"/>
        </w:tabs>
        <w:spacing w:after="120" w:line="360" w:lineRule="auto"/>
        <w:rPr>
          <w:rFonts w:ascii="Arial" w:eastAsia="Arial" w:hAnsi="Arial" w:cs="Arial"/>
          <w:color w:val="000000" w:themeColor="text1"/>
          <w:sz w:val="20"/>
          <w:szCs w:val="20"/>
        </w:rPr>
      </w:pPr>
      <w:r w:rsidRPr="00B66A65">
        <w:rPr>
          <w:rFonts w:ascii="Arial" w:hAnsi="Arial"/>
          <w:color w:val="000000" w:themeColor="text1"/>
          <w:sz w:val="20"/>
        </w:rPr>
        <w:t>Planned targets</w:t>
      </w:r>
      <w:r w:rsidR="00B66A65" w:rsidRPr="00B66A65">
        <w:rPr>
          <w:rFonts w:ascii="Arial" w:hAnsi="Arial"/>
          <w:color w:val="000000" w:themeColor="text1"/>
          <w:sz w:val="20"/>
        </w:rPr>
        <w:t xml:space="preserve"> in</w:t>
      </w:r>
      <w:r w:rsidRPr="00B66A65">
        <w:rPr>
          <w:rFonts w:ascii="Arial" w:hAnsi="Arial"/>
          <w:color w:val="000000" w:themeColor="text1"/>
          <w:sz w:val="20"/>
        </w:rPr>
        <w:t xml:space="preserve"> 2024:</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8"/>
        <w:gridCol w:w="2878"/>
        <w:gridCol w:w="1919"/>
        <w:gridCol w:w="1762"/>
        <w:gridCol w:w="1489"/>
      </w:tblGrid>
      <w:tr w:rsidR="00B66A65" w:rsidRPr="00B66A65" w14:paraId="23936A36" w14:textId="77777777" w:rsidTr="0049705D">
        <w:tc>
          <w:tcPr>
            <w:tcW w:w="537" w:type="pct"/>
            <w:shd w:val="clear" w:color="auto" w:fill="auto"/>
            <w:tcMar>
              <w:top w:w="0" w:type="dxa"/>
              <w:bottom w:w="0" w:type="dxa"/>
            </w:tcMar>
            <w:vAlign w:val="center"/>
          </w:tcPr>
          <w:p w14:paraId="4CC57D84"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No.</w:t>
            </w:r>
          </w:p>
        </w:tc>
        <w:tc>
          <w:tcPr>
            <w:tcW w:w="1596" w:type="pct"/>
            <w:shd w:val="clear" w:color="auto" w:fill="auto"/>
            <w:tcMar>
              <w:top w:w="0" w:type="dxa"/>
              <w:bottom w:w="0" w:type="dxa"/>
            </w:tcMar>
            <w:vAlign w:val="center"/>
          </w:tcPr>
          <w:p w14:paraId="4F6D10A3"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Target</w:t>
            </w:r>
          </w:p>
        </w:tc>
        <w:tc>
          <w:tcPr>
            <w:tcW w:w="1064" w:type="pct"/>
            <w:shd w:val="clear" w:color="auto" w:fill="auto"/>
            <w:tcMar>
              <w:top w:w="0" w:type="dxa"/>
              <w:bottom w:w="0" w:type="dxa"/>
            </w:tcMar>
            <w:vAlign w:val="center"/>
          </w:tcPr>
          <w:p w14:paraId="26241555"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Unit</w:t>
            </w:r>
          </w:p>
        </w:tc>
        <w:tc>
          <w:tcPr>
            <w:tcW w:w="977" w:type="pct"/>
            <w:shd w:val="clear" w:color="auto" w:fill="auto"/>
            <w:tcMar>
              <w:top w:w="0" w:type="dxa"/>
              <w:bottom w:w="0" w:type="dxa"/>
            </w:tcMar>
            <w:vAlign w:val="center"/>
          </w:tcPr>
          <w:p w14:paraId="515328BB"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Plan</w:t>
            </w:r>
          </w:p>
        </w:tc>
        <w:tc>
          <w:tcPr>
            <w:tcW w:w="826" w:type="pct"/>
            <w:shd w:val="clear" w:color="auto" w:fill="auto"/>
            <w:tcMar>
              <w:top w:w="0" w:type="dxa"/>
              <w:bottom w:w="0" w:type="dxa"/>
            </w:tcMar>
            <w:vAlign w:val="center"/>
          </w:tcPr>
          <w:p w14:paraId="7E4E7961"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Note</w:t>
            </w:r>
          </w:p>
        </w:tc>
      </w:tr>
      <w:tr w:rsidR="00B66A65" w:rsidRPr="00B66A65" w14:paraId="312ECA7C" w14:textId="77777777" w:rsidTr="0049705D">
        <w:tc>
          <w:tcPr>
            <w:tcW w:w="537" w:type="pct"/>
            <w:shd w:val="clear" w:color="auto" w:fill="auto"/>
            <w:tcMar>
              <w:top w:w="0" w:type="dxa"/>
              <w:bottom w:w="0" w:type="dxa"/>
            </w:tcMar>
            <w:vAlign w:val="center"/>
          </w:tcPr>
          <w:p w14:paraId="695E69B7"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1</w:t>
            </w:r>
          </w:p>
        </w:tc>
        <w:tc>
          <w:tcPr>
            <w:tcW w:w="1596" w:type="pct"/>
            <w:shd w:val="clear" w:color="auto" w:fill="auto"/>
            <w:tcMar>
              <w:top w:w="0" w:type="dxa"/>
              <w:bottom w:w="0" w:type="dxa"/>
            </w:tcMar>
            <w:vAlign w:val="center"/>
          </w:tcPr>
          <w:p w14:paraId="660A71FC" w14:textId="77777777" w:rsidR="00AF3C17" w:rsidRPr="00B66A65" w:rsidRDefault="0049705D" w:rsidP="0049705D">
            <w:pPr>
              <w:pBdr>
                <w:top w:val="nil"/>
                <w:left w:val="nil"/>
                <w:bottom w:val="nil"/>
                <w:right w:val="nil"/>
                <w:between w:val="nil"/>
              </w:pBdr>
              <w:tabs>
                <w:tab w:val="left" w:pos="284"/>
              </w:tabs>
              <w:spacing w:after="120" w:line="360" w:lineRule="auto"/>
              <w:rPr>
                <w:rFonts w:ascii="Arial" w:eastAsia="Arial" w:hAnsi="Arial" w:cs="Arial"/>
                <w:color w:val="000000" w:themeColor="text1"/>
                <w:sz w:val="20"/>
                <w:szCs w:val="20"/>
              </w:rPr>
            </w:pPr>
            <w:r w:rsidRPr="00B66A65">
              <w:rPr>
                <w:rFonts w:ascii="Arial" w:hAnsi="Arial"/>
                <w:color w:val="000000" w:themeColor="text1"/>
                <w:sz w:val="20"/>
              </w:rPr>
              <w:t>Total revenue</w:t>
            </w:r>
          </w:p>
        </w:tc>
        <w:tc>
          <w:tcPr>
            <w:tcW w:w="1064" w:type="pct"/>
            <w:shd w:val="clear" w:color="auto" w:fill="auto"/>
            <w:tcMar>
              <w:top w:w="0" w:type="dxa"/>
              <w:bottom w:w="0" w:type="dxa"/>
            </w:tcMar>
            <w:vAlign w:val="center"/>
          </w:tcPr>
          <w:p w14:paraId="39C3CEF4"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Billion VND</w:t>
            </w:r>
          </w:p>
        </w:tc>
        <w:tc>
          <w:tcPr>
            <w:tcW w:w="977" w:type="pct"/>
            <w:shd w:val="clear" w:color="auto" w:fill="auto"/>
            <w:tcMar>
              <w:top w:w="0" w:type="dxa"/>
              <w:bottom w:w="0" w:type="dxa"/>
            </w:tcMar>
            <w:vAlign w:val="center"/>
          </w:tcPr>
          <w:p w14:paraId="27E72A87"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1,031</w:t>
            </w:r>
          </w:p>
        </w:tc>
        <w:tc>
          <w:tcPr>
            <w:tcW w:w="826" w:type="pct"/>
            <w:shd w:val="clear" w:color="auto" w:fill="auto"/>
            <w:tcMar>
              <w:top w:w="0" w:type="dxa"/>
              <w:bottom w:w="0" w:type="dxa"/>
            </w:tcMar>
            <w:vAlign w:val="center"/>
          </w:tcPr>
          <w:p w14:paraId="6A57463F" w14:textId="77777777" w:rsidR="00AF3C17" w:rsidRPr="00B66A65" w:rsidRDefault="00AF3C17" w:rsidP="0049705D">
            <w:pPr>
              <w:tabs>
                <w:tab w:val="left" w:pos="284"/>
              </w:tabs>
              <w:spacing w:after="120" w:line="360" w:lineRule="auto"/>
              <w:jc w:val="center"/>
              <w:rPr>
                <w:rFonts w:ascii="Arial" w:eastAsia="Arial" w:hAnsi="Arial" w:cs="Arial"/>
                <w:color w:val="000000" w:themeColor="text1"/>
                <w:sz w:val="20"/>
                <w:szCs w:val="20"/>
              </w:rPr>
            </w:pPr>
          </w:p>
        </w:tc>
      </w:tr>
      <w:tr w:rsidR="00B66A65" w:rsidRPr="00B66A65" w14:paraId="07312151" w14:textId="77777777" w:rsidTr="0049705D">
        <w:tc>
          <w:tcPr>
            <w:tcW w:w="537" w:type="pct"/>
            <w:shd w:val="clear" w:color="auto" w:fill="auto"/>
            <w:tcMar>
              <w:top w:w="0" w:type="dxa"/>
              <w:bottom w:w="0" w:type="dxa"/>
            </w:tcMar>
            <w:vAlign w:val="center"/>
          </w:tcPr>
          <w:p w14:paraId="6B1ACA97"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2</w:t>
            </w:r>
          </w:p>
        </w:tc>
        <w:tc>
          <w:tcPr>
            <w:tcW w:w="1596" w:type="pct"/>
            <w:shd w:val="clear" w:color="auto" w:fill="auto"/>
            <w:tcMar>
              <w:top w:w="0" w:type="dxa"/>
              <w:bottom w:w="0" w:type="dxa"/>
            </w:tcMar>
            <w:vAlign w:val="center"/>
          </w:tcPr>
          <w:p w14:paraId="7DDAF0FF" w14:textId="77777777" w:rsidR="00AF3C17" w:rsidRPr="00B66A65" w:rsidRDefault="0049705D" w:rsidP="0049705D">
            <w:pPr>
              <w:pBdr>
                <w:top w:val="nil"/>
                <w:left w:val="nil"/>
                <w:bottom w:val="nil"/>
                <w:right w:val="nil"/>
                <w:between w:val="nil"/>
              </w:pBdr>
              <w:tabs>
                <w:tab w:val="left" w:pos="284"/>
              </w:tabs>
              <w:spacing w:after="120" w:line="360" w:lineRule="auto"/>
              <w:rPr>
                <w:rFonts w:ascii="Arial" w:eastAsia="Arial" w:hAnsi="Arial" w:cs="Arial"/>
                <w:color w:val="000000" w:themeColor="text1"/>
                <w:sz w:val="20"/>
                <w:szCs w:val="20"/>
              </w:rPr>
            </w:pPr>
            <w:r w:rsidRPr="00B66A65">
              <w:rPr>
                <w:rFonts w:ascii="Arial" w:hAnsi="Arial"/>
                <w:color w:val="000000" w:themeColor="text1"/>
                <w:sz w:val="20"/>
              </w:rPr>
              <w:t>Profit before tax</w:t>
            </w:r>
          </w:p>
        </w:tc>
        <w:tc>
          <w:tcPr>
            <w:tcW w:w="1064" w:type="pct"/>
            <w:shd w:val="clear" w:color="auto" w:fill="auto"/>
            <w:tcMar>
              <w:top w:w="0" w:type="dxa"/>
              <w:bottom w:w="0" w:type="dxa"/>
            </w:tcMar>
            <w:vAlign w:val="center"/>
          </w:tcPr>
          <w:p w14:paraId="535C6770"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Billion VND</w:t>
            </w:r>
          </w:p>
        </w:tc>
        <w:tc>
          <w:tcPr>
            <w:tcW w:w="977" w:type="pct"/>
            <w:shd w:val="clear" w:color="auto" w:fill="auto"/>
            <w:tcMar>
              <w:top w:w="0" w:type="dxa"/>
              <w:bottom w:w="0" w:type="dxa"/>
            </w:tcMar>
            <w:vAlign w:val="center"/>
          </w:tcPr>
          <w:p w14:paraId="1AF916D2"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48.7</w:t>
            </w:r>
          </w:p>
        </w:tc>
        <w:tc>
          <w:tcPr>
            <w:tcW w:w="826" w:type="pct"/>
            <w:shd w:val="clear" w:color="auto" w:fill="auto"/>
            <w:tcMar>
              <w:top w:w="0" w:type="dxa"/>
              <w:bottom w:w="0" w:type="dxa"/>
            </w:tcMar>
            <w:vAlign w:val="center"/>
          </w:tcPr>
          <w:p w14:paraId="60ED35AD" w14:textId="77777777" w:rsidR="00AF3C17" w:rsidRPr="00B66A65" w:rsidRDefault="00AF3C17" w:rsidP="0049705D">
            <w:pPr>
              <w:tabs>
                <w:tab w:val="left" w:pos="284"/>
              </w:tabs>
              <w:spacing w:after="120" w:line="360" w:lineRule="auto"/>
              <w:jc w:val="center"/>
              <w:rPr>
                <w:rFonts w:ascii="Arial" w:eastAsia="Arial" w:hAnsi="Arial" w:cs="Arial"/>
                <w:color w:val="000000" w:themeColor="text1"/>
                <w:sz w:val="20"/>
                <w:szCs w:val="20"/>
              </w:rPr>
            </w:pPr>
          </w:p>
        </w:tc>
      </w:tr>
      <w:tr w:rsidR="00B66A65" w:rsidRPr="00B66A65" w14:paraId="207579B1" w14:textId="77777777" w:rsidTr="0049705D">
        <w:tc>
          <w:tcPr>
            <w:tcW w:w="537" w:type="pct"/>
            <w:shd w:val="clear" w:color="auto" w:fill="auto"/>
            <w:tcMar>
              <w:top w:w="0" w:type="dxa"/>
              <w:bottom w:w="0" w:type="dxa"/>
            </w:tcMar>
            <w:vAlign w:val="center"/>
          </w:tcPr>
          <w:p w14:paraId="02D7D062"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3</w:t>
            </w:r>
          </w:p>
        </w:tc>
        <w:tc>
          <w:tcPr>
            <w:tcW w:w="1596" w:type="pct"/>
            <w:shd w:val="clear" w:color="auto" w:fill="auto"/>
            <w:tcMar>
              <w:top w:w="0" w:type="dxa"/>
              <w:bottom w:w="0" w:type="dxa"/>
            </w:tcMar>
            <w:vAlign w:val="center"/>
          </w:tcPr>
          <w:p w14:paraId="2C61FCAB" w14:textId="77777777" w:rsidR="00AF3C17" w:rsidRPr="00B66A65" w:rsidRDefault="0049705D" w:rsidP="0049705D">
            <w:pPr>
              <w:pBdr>
                <w:top w:val="nil"/>
                <w:left w:val="nil"/>
                <w:bottom w:val="nil"/>
                <w:right w:val="nil"/>
                <w:between w:val="nil"/>
              </w:pBdr>
              <w:tabs>
                <w:tab w:val="left" w:pos="284"/>
              </w:tabs>
              <w:spacing w:after="120" w:line="360" w:lineRule="auto"/>
              <w:rPr>
                <w:rFonts w:ascii="Arial" w:eastAsia="Arial" w:hAnsi="Arial" w:cs="Arial"/>
                <w:color w:val="000000" w:themeColor="text1"/>
                <w:sz w:val="20"/>
                <w:szCs w:val="20"/>
              </w:rPr>
            </w:pPr>
            <w:r w:rsidRPr="00B66A65">
              <w:rPr>
                <w:rFonts w:ascii="Arial" w:hAnsi="Arial"/>
                <w:color w:val="000000" w:themeColor="text1"/>
                <w:sz w:val="20"/>
              </w:rPr>
              <w:t>Dividend rate</w:t>
            </w:r>
          </w:p>
        </w:tc>
        <w:tc>
          <w:tcPr>
            <w:tcW w:w="1064" w:type="pct"/>
            <w:shd w:val="clear" w:color="auto" w:fill="auto"/>
            <w:tcMar>
              <w:top w:w="0" w:type="dxa"/>
              <w:bottom w:w="0" w:type="dxa"/>
            </w:tcMar>
            <w:vAlign w:val="center"/>
          </w:tcPr>
          <w:p w14:paraId="46270763"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w:t>
            </w:r>
          </w:p>
        </w:tc>
        <w:tc>
          <w:tcPr>
            <w:tcW w:w="977" w:type="pct"/>
            <w:shd w:val="clear" w:color="auto" w:fill="auto"/>
            <w:tcMar>
              <w:top w:w="0" w:type="dxa"/>
              <w:bottom w:w="0" w:type="dxa"/>
            </w:tcMar>
            <w:vAlign w:val="center"/>
          </w:tcPr>
          <w:p w14:paraId="62533495" w14:textId="77777777" w:rsidR="00AF3C17" w:rsidRPr="00B66A65" w:rsidRDefault="0049705D" w:rsidP="0049705D">
            <w:pPr>
              <w:pBdr>
                <w:top w:val="nil"/>
                <w:left w:val="nil"/>
                <w:bottom w:val="nil"/>
                <w:right w:val="nil"/>
                <w:between w:val="nil"/>
              </w:pBdr>
              <w:tabs>
                <w:tab w:val="left" w:pos="284"/>
              </w:tabs>
              <w:spacing w:after="120" w:line="360" w:lineRule="auto"/>
              <w:jc w:val="center"/>
              <w:rPr>
                <w:rFonts w:ascii="Arial" w:eastAsia="Arial" w:hAnsi="Arial" w:cs="Arial"/>
                <w:color w:val="000000" w:themeColor="text1"/>
                <w:sz w:val="20"/>
                <w:szCs w:val="20"/>
              </w:rPr>
            </w:pPr>
            <w:r w:rsidRPr="00B66A65">
              <w:rPr>
                <w:rFonts w:ascii="Arial" w:hAnsi="Arial"/>
                <w:color w:val="000000" w:themeColor="text1"/>
                <w:sz w:val="20"/>
              </w:rPr>
              <w:t>15%</w:t>
            </w:r>
          </w:p>
        </w:tc>
        <w:tc>
          <w:tcPr>
            <w:tcW w:w="826" w:type="pct"/>
            <w:shd w:val="clear" w:color="auto" w:fill="auto"/>
            <w:tcMar>
              <w:top w:w="0" w:type="dxa"/>
              <w:bottom w:w="0" w:type="dxa"/>
            </w:tcMar>
            <w:vAlign w:val="center"/>
          </w:tcPr>
          <w:p w14:paraId="2D152D3E" w14:textId="77777777" w:rsidR="00AF3C17" w:rsidRPr="00B66A65" w:rsidRDefault="00AF3C17" w:rsidP="0049705D">
            <w:pPr>
              <w:tabs>
                <w:tab w:val="left" w:pos="284"/>
              </w:tabs>
              <w:spacing w:after="120" w:line="360" w:lineRule="auto"/>
              <w:jc w:val="center"/>
              <w:rPr>
                <w:rFonts w:ascii="Arial" w:eastAsia="Arial" w:hAnsi="Arial" w:cs="Arial"/>
                <w:color w:val="000000" w:themeColor="text1"/>
                <w:sz w:val="20"/>
                <w:szCs w:val="20"/>
              </w:rPr>
            </w:pPr>
          </w:p>
        </w:tc>
      </w:tr>
    </w:tbl>
    <w:p w14:paraId="55CA50CB" w14:textId="312B9B0E" w:rsidR="00AF3C17" w:rsidRPr="00B66A65" w:rsidRDefault="0049705D" w:rsidP="00C93149">
      <w:pPr>
        <w:pBdr>
          <w:top w:val="nil"/>
          <w:left w:val="nil"/>
          <w:bottom w:val="nil"/>
          <w:right w:val="nil"/>
          <w:between w:val="nil"/>
        </w:pBdr>
        <w:tabs>
          <w:tab w:val="left" w:pos="284"/>
        </w:tabs>
        <w:spacing w:after="120" w:line="360" w:lineRule="auto"/>
        <w:jc w:val="both"/>
        <w:rPr>
          <w:rFonts w:ascii="Arial" w:eastAsia="Arial" w:hAnsi="Arial" w:cs="Arial"/>
          <w:color w:val="000000" w:themeColor="text1"/>
          <w:sz w:val="20"/>
          <w:szCs w:val="20"/>
        </w:rPr>
      </w:pPr>
      <w:r w:rsidRPr="00B66A65">
        <w:rPr>
          <w:rFonts w:ascii="Arial" w:hAnsi="Arial"/>
          <w:color w:val="000000" w:themeColor="text1"/>
          <w:sz w:val="20"/>
        </w:rPr>
        <w:t>Article 3: Approve the Report of the Supervisory Board on the operation results in 2023 and the operation</w:t>
      </w:r>
      <w:r w:rsidR="00B66A65" w:rsidRPr="00B66A65">
        <w:rPr>
          <w:rFonts w:ascii="Arial" w:hAnsi="Arial"/>
          <w:color w:val="000000" w:themeColor="text1"/>
          <w:sz w:val="20"/>
        </w:rPr>
        <w:t>al</w:t>
      </w:r>
      <w:r w:rsidRPr="00B66A65">
        <w:rPr>
          <w:rFonts w:ascii="Arial" w:hAnsi="Arial"/>
          <w:color w:val="000000" w:themeColor="text1"/>
          <w:sz w:val="20"/>
        </w:rPr>
        <w:t xml:space="preserve"> plan in 2024</w:t>
      </w:r>
    </w:p>
    <w:p w14:paraId="4D8A5F40" w14:textId="5B8A1BF0" w:rsidR="00AF3C17" w:rsidRPr="00B66A65" w:rsidRDefault="0049705D" w:rsidP="00C93149">
      <w:pPr>
        <w:pBdr>
          <w:top w:val="nil"/>
          <w:left w:val="nil"/>
          <w:bottom w:val="nil"/>
          <w:right w:val="nil"/>
          <w:between w:val="nil"/>
        </w:pBdr>
        <w:tabs>
          <w:tab w:val="left" w:pos="284"/>
        </w:tabs>
        <w:spacing w:after="120" w:line="360" w:lineRule="auto"/>
        <w:jc w:val="both"/>
        <w:rPr>
          <w:rFonts w:ascii="Arial" w:eastAsia="Arial" w:hAnsi="Arial" w:cs="Arial"/>
          <w:color w:val="000000" w:themeColor="text1"/>
          <w:sz w:val="20"/>
          <w:szCs w:val="20"/>
        </w:rPr>
      </w:pPr>
      <w:r w:rsidRPr="00B66A65">
        <w:rPr>
          <w:rFonts w:ascii="Arial" w:hAnsi="Arial"/>
          <w:color w:val="000000" w:themeColor="text1"/>
          <w:sz w:val="20"/>
        </w:rPr>
        <w:t xml:space="preserve">Article 4: Approve </w:t>
      </w:r>
      <w:r w:rsidR="00B66A65" w:rsidRPr="00B66A65">
        <w:rPr>
          <w:rFonts w:ascii="Arial" w:hAnsi="Arial"/>
          <w:color w:val="000000" w:themeColor="text1"/>
          <w:sz w:val="20"/>
        </w:rPr>
        <w:t xml:space="preserve">the </w:t>
      </w:r>
      <w:r w:rsidRPr="00B66A65">
        <w:rPr>
          <w:rFonts w:ascii="Arial" w:hAnsi="Arial"/>
          <w:color w:val="000000" w:themeColor="text1"/>
          <w:sz w:val="20"/>
        </w:rPr>
        <w:t>Proposal on the Financial Statements 2023</w:t>
      </w:r>
    </w:p>
    <w:p w14:paraId="5074FC7B" w14:textId="2ED5D41C" w:rsidR="00AF3C17" w:rsidRPr="00B66A65" w:rsidRDefault="0049705D" w:rsidP="00C93149">
      <w:pPr>
        <w:pBdr>
          <w:top w:val="nil"/>
          <w:left w:val="nil"/>
          <w:bottom w:val="nil"/>
          <w:right w:val="nil"/>
          <w:between w:val="nil"/>
        </w:pBdr>
        <w:tabs>
          <w:tab w:val="left" w:pos="284"/>
        </w:tabs>
        <w:spacing w:after="120" w:line="360" w:lineRule="auto"/>
        <w:jc w:val="both"/>
        <w:rPr>
          <w:rFonts w:ascii="Arial" w:eastAsia="Arial" w:hAnsi="Arial" w:cs="Arial"/>
          <w:color w:val="000000" w:themeColor="text1"/>
          <w:sz w:val="20"/>
          <w:szCs w:val="20"/>
        </w:rPr>
      </w:pPr>
      <w:r w:rsidRPr="00B66A65">
        <w:rPr>
          <w:rFonts w:ascii="Arial" w:hAnsi="Arial"/>
          <w:color w:val="000000" w:themeColor="text1"/>
          <w:sz w:val="20"/>
        </w:rPr>
        <w:t xml:space="preserve">Article 5: </w:t>
      </w:r>
      <w:r w:rsidR="00B66A65" w:rsidRPr="00B66A65">
        <w:rPr>
          <w:rFonts w:ascii="Arial" w:hAnsi="Arial"/>
          <w:color w:val="000000" w:themeColor="text1"/>
          <w:sz w:val="20"/>
        </w:rPr>
        <w:t xml:space="preserve">Approve the </w:t>
      </w:r>
      <w:r w:rsidRPr="00B66A65">
        <w:rPr>
          <w:rFonts w:ascii="Arial" w:hAnsi="Arial"/>
          <w:color w:val="000000" w:themeColor="text1"/>
          <w:sz w:val="20"/>
        </w:rPr>
        <w:t xml:space="preserve">Proposal on the profit distribution </w:t>
      </w:r>
      <w:r w:rsidR="00B66A65" w:rsidRPr="00B66A65">
        <w:rPr>
          <w:rFonts w:ascii="Arial" w:hAnsi="Arial"/>
          <w:color w:val="000000" w:themeColor="text1"/>
          <w:sz w:val="20"/>
        </w:rPr>
        <w:t xml:space="preserve">in </w:t>
      </w:r>
      <w:r w:rsidRPr="00B66A65">
        <w:rPr>
          <w:rFonts w:ascii="Arial" w:hAnsi="Arial"/>
          <w:color w:val="000000" w:themeColor="text1"/>
          <w:sz w:val="20"/>
        </w:rPr>
        <w:t>2023 and plan for 2024</w:t>
      </w:r>
    </w:p>
    <w:p w14:paraId="3306D98B" w14:textId="77777777" w:rsidR="00AF3C17" w:rsidRPr="00B66A65" w:rsidRDefault="0049705D" w:rsidP="00C93149">
      <w:pPr>
        <w:keepNext/>
        <w:numPr>
          <w:ilvl w:val="0"/>
          <w:numId w:val="1"/>
        </w:numPr>
        <w:pBdr>
          <w:top w:val="nil"/>
          <w:left w:val="nil"/>
          <w:bottom w:val="nil"/>
          <w:right w:val="nil"/>
          <w:between w:val="nil"/>
        </w:pBdr>
        <w:tabs>
          <w:tab w:val="left" w:pos="284"/>
          <w:tab w:val="left" w:pos="701"/>
        </w:tabs>
        <w:spacing w:after="120" w:line="360" w:lineRule="auto"/>
        <w:jc w:val="both"/>
        <w:rPr>
          <w:rFonts w:ascii="Arial" w:eastAsia="Arial" w:hAnsi="Arial" w:cs="Arial"/>
          <w:color w:val="000000" w:themeColor="text1"/>
          <w:sz w:val="20"/>
          <w:szCs w:val="20"/>
        </w:rPr>
      </w:pPr>
      <w:r w:rsidRPr="00B66A65">
        <w:rPr>
          <w:rFonts w:ascii="Arial" w:hAnsi="Arial"/>
          <w:color w:val="000000" w:themeColor="text1"/>
          <w:sz w:val="20"/>
        </w:rPr>
        <w:t>Profit distribution in 2023:</w:t>
      </w:r>
    </w:p>
    <w:p w14:paraId="7B800EC2" w14:textId="28953DDD" w:rsidR="00AF3C17" w:rsidRPr="00B66A65" w:rsidRDefault="0049705D" w:rsidP="00C93149">
      <w:pPr>
        <w:numPr>
          <w:ilvl w:val="0"/>
          <w:numId w:val="2"/>
        </w:numPr>
        <w:pBdr>
          <w:top w:val="nil"/>
          <w:left w:val="nil"/>
          <w:bottom w:val="nil"/>
          <w:right w:val="nil"/>
          <w:between w:val="nil"/>
        </w:pBdr>
        <w:tabs>
          <w:tab w:val="left" w:pos="284"/>
          <w:tab w:val="left" w:pos="765"/>
          <w:tab w:val="left" w:pos="4820"/>
        </w:tabs>
        <w:spacing w:after="120" w:line="360" w:lineRule="auto"/>
        <w:jc w:val="both"/>
        <w:rPr>
          <w:rFonts w:ascii="Arial" w:eastAsia="Arial" w:hAnsi="Arial" w:cs="Arial"/>
          <w:color w:val="000000" w:themeColor="text1"/>
          <w:sz w:val="20"/>
          <w:szCs w:val="20"/>
        </w:rPr>
      </w:pPr>
      <w:r w:rsidRPr="00B66A65">
        <w:rPr>
          <w:rFonts w:ascii="Arial" w:hAnsi="Arial"/>
          <w:color w:val="000000" w:themeColor="text1"/>
          <w:sz w:val="20"/>
        </w:rPr>
        <w:t xml:space="preserve">Distribution of profit after tax </w:t>
      </w:r>
      <w:r w:rsidR="00B66A65" w:rsidRPr="00B66A65">
        <w:rPr>
          <w:rFonts w:ascii="Arial" w:hAnsi="Arial"/>
          <w:color w:val="000000" w:themeColor="text1"/>
          <w:sz w:val="20"/>
        </w:rPr>
        <w:t xml:space="preserve">in </w:t>
      </w:r>
      <w:r w:rsidRPr="00B66A65">
        <w:rPr>
          <w:rFonts w:ascii="Arial" w:hAnsi="Arial"/>
          <w:color w:val="000000" w:themeColor="text1"/>
          <w:sz w:val="20"/>
        </w:rPr>
        <w:t>2023, in which:</w:t>
      </w:r>
    </w:p>
    <w:p w14:paraId="7AC30FCD" w14:textId="2CE12824" w:rsidR="00AF3C17" w:rsidRPr="00B66A65" w:rsidRDefault="0049705D" w:rsidP="00C93149">
      <w:pPr>
        <w:pStyle w:val="ListParagraph"/>
        <w:numPr>
          <w:ilvl w:val="0"/>
          <w:numId w:val="4"/>
        </w:numPr>
        <w:pBdr>
          <w:top w:val="nil"/>
          <w:left w:val="nil"/>
          <w:bottom w:val="nil"/>
          <w:right w:val="nil"/>
          <w:between w:val="nil"/>
        </w:pBdr>
        <w:tabs>
          <w:tab w:val="left" w:pos="284"/>
          <w:tab w:val="center" w:pos="3595"/>
          <w:tab w:val="left" w:pos="5103"/>
          <w:tab w:val="right" w:pos="6249"/>
        </w:tabs>
        <w:spacing w:after="120" w:line="360" w:lineRule="auto"/>
        <w:ind w:left="0" w:firstLine="0"/>
        <w:contextualSpacing w:val="0"/>
        <w:jc w:val="both"/>
        <w:rPr>
          <w:rFonts w:ascii="Arial" w:eastAsia="Arial" w:hAnsi="Arial" w:cs="Arial"/>
          <w:color w:val="000000" w:themeColor="text1"/>
          <w:sz w:val="20"/>
          <w:szCs w:val="20"/>
        </w:rPr>
      </w:pPr>
      <w:r w:rsidRPr="00B66A65">
        <w:rPr>
          <w:rFonts w:ascii="Arial" w:hAnsi="Arial"/>
          <w:color w:val="000000" w:themeColor="text1"/>
          <w:sz w:val="20"/>
        </w:rPr>
        <w:t>Dividend payment to shareholders: 15%</w:t>
      </w:r>
      <w:r w:rsidR="00B66A65" w:rsidRPr="00B66A65">
        <w:rPr>
          <w:rFonts w:ascii="Arial" w:hAnsi="Arial"/>
          <w:color w:val="000000" w:themeColor="text1"/>
          <w:sz w:val="20"/>
        </w:rPr>
        <w:t>/</w:t>
      </w:r>
      <w:r w:rsidRPr="00B66A65">
        <w:rPr>
          <w:rFonts w:ascii="Arial" w:hAnsi="Arial"/>
          <w:color w:val="000000" w:themeColor="text1"/>
          <w:sz w:val="20"/>
        </w:rPr>
        <w:t>share</w:t>
      </w:r>
    </w:p>
    <w:p w14:paraId="284217E5" w14:textId="1413E3FB" w:rsidR="00AF3C17" w:rsidRPr="00B66A65" w:rsidRDefault="0049705D" w:rsidP="00C93149">
      <w:pPr>
        <w:pStyle w:val="ListParagraph"/>
        <w:numPr>
          <w:ilvl w:val="0"/>
          <w:numId w:val="4"/>
        </w:numPr>
        <w:pBdr>
          <w:top w:val="nil"/>
          <w:left w:val="nil"/>
          <w:bottom w:val="nil"/>
          <w:right w:val="nil"/>
          <w:between w:val="nil"/>
        </w:pBdr>
        <w:tabs>
          <w:tab w:val="left" w:pos="284"/>
          <w:tab w:val="left" w:pos="5103"/>
          <w:tab w:val="right" w:pos="7175"/>
        </w:tabs>
        <w:spacing w:after="120" w:line="360" w:lineRule="auto"/>
        <w:ind w:left="0" w:firstLine="0"/>
        <w:contextualSpacing w:val="0"/>
        <w:jc w:val="both"/>
        <w:rPr>
          <w:rFonts w:ascii="Arial" w:eastAsia="Arial" w:hAnsi="Arial" w:cs="Arial"/>
          <w:color w:val="000000" w:themeColor="text1"/>
          <w:sz w:val="20"/>
          <w:szCs w:val="20"/>
        </w:rPr>
      </w:pPr>
      <w:r w:rsidRPr="00B66A65">
        <w:rPr>
          <w:rFonts w:ascii="Arial" w:hAnsi="Arial"/>
          <w:color w:val="000000" w:themeColor="text1"/>
          <w:sz w:val="20"/>
        </w:rPr>
        <w:t xml:space="preserve">Welfare fund: 5% </w:t>
      </w:r>
      <w:r w:rsidR="00B66A65" w:rsidRPr="00B66A65">
        <w:rPr>
          <w:rFonts w:ascii="Arial" w:hAnsi="Arial"/>
          <w:color w:val="000000" w:themeColor="text1"/>
          <w:sz w:val="20"/>
        </w:rPr>
        <w:t xml:space="preserve">of </w:t>
      </w:r>
      <w:r w:rsidRPr="00B66A65">
        <w:rPr>
          <w:rFonts w:ascii="Arial" w:hAnsi="Arial"/>
          <w:color w:val="000000" w:themeColor="text1"/>
          <w:sz w:val="20"/>
        </w:rPr>
        <w:t>Profit after tax</w:t>
      </w:r>
    </w:p>
    <w:p w14:paraId="0A9B7FBD" w14:textId="47F91A11" w:rsidR="00AF3C17" w:rsidRPr="00B66A65" w:rsidRDefault="0049705D" w:rsidP="00C93149">
      <w:pPr>
        <w:pStyle w:val="ListParagraph"/>
        <w:numPr>
          <w:ilvl w:val="0"/>
          <w:numId w:val="4"/>
        </w:numPr>
        <w:pBdr>
          <w:top w:val="nil"/>
          <w:left w:val="nil"/>
          <w:bottom w:val="nil"/>
          <w:right w:val="nil"/>
          <w:between w:val="nil"/>
        </w:pBdr>
        <w:tabs>
          <w:tab w:val="left" w:pos="284"/>
          <w:tab w:val="left" w:pos="5103"/>
          <w:tab w:val="right" w:pos="7175"/>
        </w:tabs>
        <w:spacing w:after="120" w:line="360" w:lineRule="auto"/>
        <w:ind w:left="0" w:firstLine="0"/>
        <w:contextualSpacing w:val="0"/>
        <w:jc w:val="both"/>
        <w:rPr>
          <w:rFonts w:ascii="Arial" w:eastAsia="Arial" w:hAnsi="Arial" w:cs="Arial"/>
          <w:color w:val="000000" w:themeColor="text1"/>
          <w:sz w:val="20"/>
          <w:szCs w:val="20"/>
        </w:rPr>
      </w:pPr>
      <w:r w:rsidRPr="00B66A65">
        <w:rPr>
          <w:rFonts w:ascii="Arial" w:hAnsi="Arial"/>
          <w:color w:val="000000" w:themeColor="text1"/>
          <w:sz w:val="20"/>
        </w:rPr>
        <w:t xml:space="preserve">Bonus fund: 7% </w:t>
      </w:r>
      <w:r w:rsidR="00B66A65" w:rsidRPr="00B66A65">
        <w:rPr>
          <w:rFonts w:ascii="Arial" w:hAnsi="Arial"/>
          <w:color w:val="000000" w:themeColor="text1"/>
          <w:sz w:val="20"/>
        </w:rPr>
        <w:t xml:space="preserve">of </w:t>
      </w:r>
      <w:r w:rsidRPr="00B66A65">
        <w:rPr>
          <w:rFonts w:ascii="Arial" w:hAnsi="Arial"/>
          <w:color w:val="000000" w:themeColor="text1"/>
          <w:sz w:val="20"/>
        </w:rPr>
        <w:t>Profit after tax</w:t>
      </w:r>
    </w:p>
    <w:p w14:paraId="0A803D72" w14:textId="1F551304" w:rsidR="00AF3C17" w:rsidRPr="00B66A65" w:rsidRDefault="0049705D" w:rsidP="00C93149">
      <w:pPr>
        <w:pStyle w:val="ListParagraph"/>
        <w:numPr>
          <w:ilvl w:val="0"/>
          <w:numId w:val="4"/>
        </w:numPr>
        <w:pBdr>
          <w:top w:val="nil"/>
          <w:left w:val="nil"/>
          <w:bottom w:val="nil"/>
          <w:right w:val="nil"/>
          <w:between w:val="nil"/>
        </w:pBdr>
        <w:tabs>
          <w:tab w:val="left" w:pos="284"/>
          <w:tab w:val="center" w:pos="3536"/>
          <w:tab w:val="center" w:pos="3936"/>
          <w:tab w:val="left" w:pos="5103"/>
        </w:tabs>
        <w:spacing w:after="120" w:line="360" w:lineRule="auto"/>
        <w:ind w:left="0" w:firstLine="0"/>
        <w:contextualSpacing w:val="0"/>
        <w:jc w:val="both"/>
        <w:rPr>
          <w:rFonts w:ascii="Arial" w:eastAsia="Arial" w:hAnsi="Arial" w:cs="Arial"/>
          <w:color w:val="000000" w:themeColor="text1"/>
          <w:sz w:val="20"/>
          <w:szCs w:val="20"/>
        </w:rPr>
      </w:pPr>
      <w:r w:rsidRPr="00B66A65">
        <w:rPr>
          <w:rFonts w:ascii="Arial" w:hAnsi="Arial"/>
          <w:color w:val="000000" w:themeColor="text1"/>
          <w:sz w:val="20"/>
        </w:rPr>
        <w:t xml:space="preserve">Bonus fund for </w:t>
      </w:r>
      <w:r w:rsidR="00B66A65" w:rsidRPr="00B66A65">
        <w:rPr>
          <w:rFonts w:ascii="Arial" w:hAnsi="Arial"/>
          <w:color w:val="000000" w:themeColor="text1"/>
          <w:sz w:val="20"/>
        </w:rPr>
        <w:t xml:space="preserve">the </w:t>
      </w:r>
      <w:r w:rsidRPr="00B66A65">
        <w:rPr>
          <w:rFonts w:ascii="Arial" w:hAnsi="Arial"/>
          <w:color w:val="000000" w:themeColor="text1"/>
          <w:sz w:val="20"/>
        </w:rPr>
        <w:t xml:space="preserve">Executive Board: 5% </w:t>
      </w:r>
      <w:r w:rsidR="00B66A65" w:rsidRPr="00B66A65">
        <w:rPr>
          <w:rFonts w:ascii="Arial" w:hAnsi="Arial"/>
          <w:color w:val="000000" w:themeColor="text1"/>
          <w:sz w:val="20"/>
        </w:rPr>
        <w:t xml:space="preserve">of </w:t>
      </w:r>
      <w:r w:rsidRPr="00B66A65">
        <w:rPr>
          <w:rFonts w:ascii="Arial" w:hAnsi="Arial"/>
          <w:color w:val="000000" w:themeColor="text1"/>
          <w:sz w:val="20"/>
        </w:rPr>
        <w:t>Profit after tax</w:t>
      </w:r>
    </w:p>
    <w:p w14:paraId="74C1F256" w14:textId="5A164048" w:rsidR="00AF3C17" w:rsidRPr="00B66A65" w:rsidRDefault="0049705D" w:rsidP="00C93149">
      <w:pPr>
        <w:pStyle w:val="ListParagraph"/>
        <w:numPr>
          <w:ilvl w:val="0"/>
          <w:numId w:val="4"/>
        </w:numPr>
        <w:pBdr>
          <w:top w:val="nil"/>
          <w:left w:val="nil"/>
          <w:bottom w:val="nil"/>
          <w:right w:val="nil"/>
          <w:between w:val="nil"/>
        </w:pBdr>
        <w:tabs>
          <w:tab w:val="left" w:pos="284"/>
          <w:tab w:val="left" w:pos="4683"/>
        </w:tabs>
        <w:spacing w:after="120" w:line="360" w:lineRule="auto"/>
        <w:ind w:left="0" w:firstLine="0"/>
        <w:contextualSpacing w:val="0"/>
        <w:jc w:val="both"/>
        <w:rPr>
          <w:rFonts w:ascii="Arial" w:eastAsia="Arial" w:hAnsi="Arial" w:cs="Arial"/>
          <w:color w:val="000000" w:themeColor="text1"/>
          <w:sz w:val="20"/>
          <w:szCs w:val="20"/>
        </w:rPr>
      </w:pPr>
      <w:r w:rsidRPr="00B66A65">
        <w:rPr>
          <w:rFonts w:ascii="Arial" w:hAnsi="Arial"/>
          <w:color w:val="000000" w:themeColor="text1"/>
          <w:sz w:val="20"/>
        </w:rPr>
        <w:t xml:space="preserve">Investment and development fund: The remaining undistributed profit after </w:t>
      </w:r>
      <w:r w:rsidR="00B66A65" w:rsidRPr="00B66A65">
        <w:rPr>
          <w:rFonts w:ascii="Arial" w:hAnsi="Arial"/>
          <w:color w:val="000000" w:themeColor="text1"/>
          <w:sz w:val="20"/>
        </w:rPr>
        <w:t>appropriation</w:t>
      </w:r>
      <w:r w:rsidRPr="00B66A65">
        <w:rPr>
          <w:rFonts w:ascii="Arial" w:hAnsi="Arial"/>
          <w:color w:val="000000" w:themeColor="text1"/>
          <w:sz w:val="20"/>
        </w:rPr>
        <w:t xml:space="preserve"> </w:t>
      </w:r>
      <w:r w:rsidR="00B66A65" w:rsidRPr="00B66A65">
        <w:rPr>
          <w:rFonts w:ascii="Arial" w:hAnsi="Arial"/>
          <w:color w:val="000000" w:themeColor="text1"/>
          <w:sz w:val="20"/>
        </w:rPr>
        <w:t>for</w:t>
      </w:r>
      <w:r w:rsidRPr="00B66A65">
        <w:rPr>
          <w:rFonts w:ascii="Arial" w:hAnsi="Arial"/>
          <w:color w:val="000000" w:themeColor="text1"/>
          <w:sz w:val="20"/>
        </w:rPr>
        <w:t xml:space="preserve"> funds and dividend</w:t>
      </w:r>
      <w:r w:rsidR="00B66A65" w:rsidRPr="00B66A65">
        <w:rPr>
          <w:rFonts w:ascii="Arial" w:hAnsi="Arial"/>
          <w:color w:val="000000" w:themeColor="text1"/>
          <w:sz w:val="20"/>
        </w:rPr>
        <w:t xml:space="preserve"> payment</w:t>
      </w:r>
    </w:p>
    <w:p w14:paraId="4F7AC8B9" w14:textId="77777777" w:rsidR="00AF3C17" w:rsidRPr="00B66A65" w:rsidRDefault="0049705D" w:rsidP="00C93149">
      <w:pPr>
        <w:keepNext/>
        <w:numPr>
          <w:ilvl w:val="0"/>
          <w:numId w:val="1"/>
        </w:numPr>
        <w:pBdr>
          <w:top w:val="nil"/>
          <w:left w:val="nil"/>
          <w:bottom w:val="nil"/>
          <w:right w:val="nil"/>
          <w:between w:val="nil"/>
        </w:pBdr>
        <w:tabs>
          <w:tab w:val="left" w:pos="284"/>
          <w:tab w:val="left" w:pos="704"/>
        </w:tabs>
        <w:spacing w:after="120" w:line="360" w:lineRule="auto"/>
        <w:jc w:val="both"/>
        <w:rPr>
          <w:rFonts w:ascii="Arial" w:eastAsia="Arial" w:hAnsi="Arial" w:cs="Arial"/>
          <w:color w:val="000000" w:themeColor="text1"/>
          <w:sz w:val="20"/>
          <w:szCs w:val="20"/>
        </w:rPr>
      </w:pPr>
      <w:r w:rsidRPr="00B66A65">
        <w:rPr>
          <w:rFonts w:ascii="Arial" w:hAnsi="Arial"/>
          <w:color w:val="000000" w:themeColor="text1"/>
          <w:sz w:val="20"/>
        </w:rPr>
        <w:lastRenderedPageBreak/>
        <w:t>Expected plan in 2024:</w:t>
      </w:r>
    </w:p>
    <w:p w14:paraId="3473483C" w14:textId="77777777" w:rsidR="00AF3C17" w:rsidRPr="00B66A65" w:rsidRDefault="0049705D" w:rsidP="00C93149">
      <w:pPr>
        <w:numPr>
          <w:ilvl w:val="0"/>
          <w:numId w:val="2"/>
        </w:numPr>
        <w:pBdr>
          <w:top w:val="nil"/>
          <w:left w:val="nil"/>
          <w:bottom w:val="nil"/>
          <w:right w:val="nil"/>
          <w:between w:val="nil"/>
        </w:pBdr>
        <w:tabs>
          <w:tab w:val="left" w:pos="284"/>
          <w:tab w:val="left" w:pos="912"/>
          <w:tab w:val="left" w:pos="4037"/>
          <w:tab w:val="left" w:pos="5103"/>
        </w:tabs>
        <w:spacing w:after="120" w:line="360" w:lineRule="auto"/>
        <w:jc w:val="both"/>
        <w:rPr>
          <w:rFonts w:ascii="Arial" w:eastAsia="Arial" w:hAnsi="Arial" w:cs="Arial"/>
          <w:color w:val="000000" w:themeColor="text1"/>
          <w:sz w:val="20"/>
          <w:szCs w:val="20"/>
        </w:rPr>
      </w:pPr>
      <w:r w:rsidRPr="00B66A65">
        <w:rPr>
          <w:rFonts w:ascii="Arial" w:hAnsi="Arial"/>
          <w:color w:val="000000" w:themeColor="text1"/>
          <w:sz w:val="20"/>
        </w:rPr>
        <w:t>Total revenue: VND 1,031 billion</w:t>
      </w:r>
    </w:p>
    <w:p w14:paraId="45A6F645" w14:textId="77777777" w:rsidR="00AF3C17" w:rsidRPr="00B66A65" w:rsidRDefault="0049705D" w:rsidP="00C93149">
      <w:pPr>
        <w:numPr>
          <w:ilvl w:val="0"/>
          <w:numId w:val="2"/>
        </w:numPr>
        <w:pBdr>
          <w:top w:val="nil"/>
          <w:left w:val="nil"/>
          <w:bottom w:val="nil"/>
          <w:right w:val="nil"/>
          <w:between w:val="nil"/>
        </w:pBdr>
        <w:tabs>
          <w:tab w:val="left" w:pos="284"/>
          <w:tab w:val="left" w:pos="912"/>
          <w:tab w:val="left" w:pos="4037"/>
          <w:tab w:val="left" w:pos="5103"/>
        </w:tabs>
        <w:spacing w:after="120" w:line="360" w:lineRule="auto"/>
        <w:jc w:val="both"/>
        <w:rPr>
          <w:rFonts w:ascii="Arial" w:eastAsia="Arial" w:hAnsi="Arial" w:cs="Arial"/>
          <w:color w:val="000000" w:themeColor="text1"/>
          <w:sz w:val="20"/>
          <w:szCs w:val="20"/>
        </w:rPr>
      </w:pPr>
      <w:r w:rsidRPr="00B66A65">
        <w:rPr>
          <w:rFonts w:ascii="Arial" w:hAnsi="Arial"/>
          <w:color w:val="000000" w:themeColor="text1"/>
          <w:sz w:val="20"/>
        </w:rPr>
        <w:t>Profit before tax: VND 48.7 billion</w:t>
      </w:r>
    </w:p>
    <w:p w14:paraId="3142920E" w14:textId="39D8AC9E" w:rsidR="00AF3C17" w:rsidRPr="00B66A65" w:rsidRDefault="0049705D" w:rsidP="00C93149">
      <w:pPr>
        <w:pBdr>
          <w:top w:val="nil"/>
          <w:left w:val="nil"/>
          <w:bottom w:val="nil"/>
          <w:right w:val="nil"/>
          <w:between w:val="nil"/>
        </w:pBdr>
        <w:tabs>
          <w:tab w:val="left" w:pos="284"/>
        </w:tabs>
        <w:spacing w:after="120" w:line="360" w:lineRule="auto"/>
        <w:jc w:val="both"/>
        <w:rPr>
          <w:rFonts w:ascii="Arial" w:eastAsia="Arial" w:hAnsi="Arial" w:cs="Arial"/>
          <w:color w:val="000000" w:themeColor="text1"/>
          <w:sz w:val="20"/>
          <w:szCs w:val="20"/>
        </w:rPr>
      </w:pPr>
      <w:r w:rsidRPr="00B66A65">
        <w:rPr>
          <w:rFonts w:ascii="Arial" w:hAnsi="Arial"/>
          <w:color w:val="000000" w:themeColor="text1"/>
          <w:sz w:val="20"/>
        </w:rPr>
        <w:t xml:space="preserve">Distribution of profit after tax </w:t>
      </w:r>
      <w:r w:rsidR="00B66A65" w:rsidRPr="00B66A65">
        <w:rPr>
          <w:rFonts w:ascii="Arial" w:hAnsi="Arial"/>
          <w:color w:val="000000" w:themeColor="text1"/>
          <w:sz w:val="20"/>
        </w:rPr>
        <w:t xml:space="preserve">in </w:t>
      </w:r>
      <w:r w:rsidRPr="00B66A65">
        <w:rPr>
          <w:rFonts w:ascii="Arial" w:hAnsi="Arial"/>
          <w:color w:val="000000" w:themeColor="text1"/>
          <w:sz w:val="20"/>
        </w:rPr>
        <w:t>2023, in which:</w:t>
      </w:r>
    </w:p>
    <w:p w14:paraId="61E9E685" w14:textId="23CFEB4B" w:rsidR="00AF3C17" w:rsidRPr="00B66A65" w:rsidRDefault="0049705D" w:rsidP="00C93149">
      <w:pPr>
        <w:pStyle w:val="ListParagraph"/>
        <w:numPr>
          <w:ilvl w:val="0"/>
          <w:numId w:val="5"/>
        </w:numPr>
        <w:pBdr>
          <w:top w:val="nil"/>
          <w:left w:val="nil"/>
          <w:bottom w:val="nil"/>
          <w:right w:val="nil"/>
          <w:between w:val="nil"/>
        </w:pBdr>
        <w:tabs>
          <w:tab w:val="left" w:pos="284"/>
          <w:tab w:val="left" w:pos="5103"/>
        </w:tabs>
        <w:spacing w:after="120" w:line="360" w:lineRule="auto"/>
        <w:ind w:left="0" w:firstLine="0"/>
        <w:contextualSpacing w:val="0"/>
        <w:jc w:val="both"/>
        <w:rPr>
          <w:rFonts w:ascii="Arial" w:eastAsia="Arial" w:hAnsi="Arial" w:cs="Arial"/>
          <w:color w:val="000000" w:themeColor="text1"/>
          <w:sz w:val="20"/>
          <w:szCs w:val="20"/>
        </w:rPr>
      </w:pPr>
      <w:r w:rsidRPr="00B66A65">
        <w:rPr>
          <w:rFonts w:ascii="Arial" w:hAnsi="Arial"/>
          <w:color w:val="000000" w:themeColor="text1"/>
          <w:sz w:val="20"/>
        </w:rPr>
        <w:t>Dividend payment to shareholders: 15%</w:t>
      </w:r>
      <w:r w:rsidR="00B66A65" w:rsidRPr="00B66A65">
        <w:rPr>
          <w:rFonts w:ascii="Arial" w:hAnsi="Arial"/>
          <w:color w:val="000000" w:themeColor="text1"/>
          <w:sz w:val="20"/>
        </w:rPr>
        <w:t>/</w:t>
      </w:r>
      <w:r w:rsidRPr="00B66A65">
        <w:rPr>
          <w:rFonts w:ascii="Arial" w:hAnsi="Arial"/>
          <w:color w:val="000000" w:themeColor="text1"/>
          <w:sz w:val="20"/>
        </w:rPr>
        <w:t>share</w:t>
      </w:r>
    </w:p>
    <w:p w14:paraId="653D6870" w14:textId="25D0BF1A" w:rsidR="00AF3C17" w:rsidRPr="00B66A65" w:rsidRDefault="0049705D" w:rsidP="00C93149">
      <w:pPr>
        <w:pStyle w:val="ListParagraph"/>
        <w:numPr>
          <w:ilvl w:val="0"/>
          <w:numId w:val="5"/>
        </w:numPr>
        <w:pBdr>
          <w:top w:val="nil"/>
          <w:left w:val="nil"/>
          <w:bottom w:val="nil"/>
          <w:right w:val="nil"/>
          <w:between w:val="nil"/>
        </w:pBdr>
        <w:tabs>
          <w:tab w:val="left" w:pos="284"/>
          <w:tab w:val="left" w:pos="4933"/>
          <w:tab w:val="left" w:pos="5103"/>
        </w:tabs>
        <w:spacing w:after="120" w:line="360" w:lineRule="auto"/>
        <w:ind w:left="0" w:firstLine="0"/>
        <w:contextualSpacing w:val="0"/>
        <w:jc w:val="both"/>
        <w:rPr>
          <w:rFonts w:ascii="Arial" w:eastAsia="Arial" w:hAnsi="Arial" w:cs="Arial"/>
          <w:color w:val="000000" w:themeColor="text1"/>
          <w:sz w:val="20"/>
          <w:szCs w:val="20"/>
        </w:rPr>
      </w:pPr>
      <w:r w:rsidRPr="00B66A65">
        <w:rPr>
          <w:rFonts w:ascii="Arial" w:hAnsi="Arial"/>
          <w:color w:val="000000" w:themeColor="text1"/>
          <w:sz w:val="20"/>
        </w:rPr>
        <w:t xml:space="preserve">Welfare fund: 5% </w:t>
      </w:r>
      <w:r w:rsidR="00B66A65" w:rsidRPr="00B66A65">
        <w:rPr>
          <w:rFonts w:ascii="Arial" w:hAnsi="Arial"/>
          <w:color w:val="000000" w:themeColor="text1"/>
          <w:sz w:val="20"/>
        </w:rPr>
        <w:t xml:space="preserve">of </w:t>
      </w:r>
      <w:r w:rsidRPr="00B66A65">
        <w:rPr>
          <w:rFonts w:ascii="Arial" w:hAnsi="Arial"/>
          <w:color w:val="000000" w:themeColor="text1"/>
          <w:sz w:val="20"/>
        </w:rPr>
        <w:t>Profit after tax</w:t>
      </w:r>
    </w:p>
    <w:p w14:paraId="7FDC6EA5" w14:textId="0FB7EC7D" w:rsidR="00AF3C17" w:rsidRPr="00B66A65" w:rsidRDefault="0049705D" w:rsidP="00C93149">
      <w:pPr>
        <w:pStyle w:val="ListParagraph"/>
        <w:numPr>
          <w:ilvl w:val="0"/>
          <w:numId w:val="5"/>
        </w:numPr>
        <w:pBdr>
          <w:top w:val="nil"/>
          <w:left w:val="nil"/>
          <w:bottom w:val="nil"/>
          <w:right w:val="nil"/>
          <w:between w:val="nil"/>
        </w:pBdr>
        <w:tabs>
          <w:tab w:val="left" w:pos="284"/>
          <w:tab w:val="left" w:pos="4933"/>
          <w:tab w:val="left" w:pos="5103"/>
        </w:tabs>
        <w:spacing w:after="120" w:line="360" w:lineRule="auto"/>
        <w:ind w:left="0" w:firstLine="0"/>
        <w:contextualSpacing w:val="0"/>
        <w:jc w:val="both"/>
        <w:rPr>
          <w:rFonts w:ascii="Arial" w:eastAsia="Arial" w:hAnsi="Arial" w:cs="Arial"/>
          <w:color w:val="000000" w:themeColor="text1"/>
          <w:sz w:val="20"/>
          <w:szCs w:val="20"/>
        </w:rPr>
      </w:pPr>
      <w:r w:rsidRPr="00B66A65">
        <w:rPr>
          <w:rFonts w:ascii="Arial" w:hAnsi="Arial"/>
          <w:color w:val="000000" w:themeColor="text1"/>
          <w:sz w:val="20"/>
        </w:rPr>
        <w:t>Bonus fund: 7%</w:t>
      </w:r>
      <w:r w:rsidR="00B66A65" w:rsidRPr="00B66A65">
        <w:rPr>
          <w:rFonts w:ascii="Arial" w:hAnsi="Arial"/>
          <w:color w:val="000000" w:themeColor="text1"/>
          <w:sz w:val="20"/>
        </w:rPr>
        <w:t xml:space="preserve"> of</w:t>
      </w:r>
      <w:r w:rsidRPr="00B66A65">
        <w:rPr>
          <w:rFonts w:ascii="Arial" w:hAnsi="Arial"/>
          <w:color w:val="000000" w:themeColor="text1"/>
          <w:sz w:val="20"/>
        </w:rPr>
        <w:t xml:space="preserve"> Profit after tax</w:t>
      </w:r>
    </w:p>
    <w:p w14:paraId="468DA79A" w14:textId="034887BC" w:rsidR="00AF3C17" w:rsidRPr="00B66A65" w:rsidRDefault="0049705D" w:rsidP="00C93149">
      <w:pPr>
        <w:pStyle w:val="ListParagraph"/>
        <w:numPr>
          <w:ilvl w:val="0"/>
          <w:numId w:val="5"/>
        </w:numPr>
        <w:pBdr>
          <w:top w:val="nil"/>
          <w:left w:val="nil"/>
          <w:bottom w:val="nil"/>
          <w:right w:val="nil"/>
          <w:between w:val="nil"/>
        </w:pBdr>
        <w:tabs>
          <w:tab w:val="left" w:pos="284"/>
          <w:tab w:val="left" w:pos="5103"/>
        </w:tabs>
        <w:spacing w:after="120" w:line="360" w:lineRule="auto"/>
        <w:ind w:left="0" w:firstLine="0"/>
        <w:contextualSpacing w:val="0"/>
        <w:jc w:val="both"/>
        <w:rPr>
          <w:rFonts w:ascii="Arial" w:eastAsia="Arial" w:hAnsi="Arial" w:cs="Arial"/>
          <w:color w:val="000000" w:themeColor="text1"/>
          <w:sz w:val="20"/>
          <w:szCs w:val="20"/>
        </w:rPr>
      </w:pPr>
      <w:r w:rsidRPr="00B66A65">
        <w:rPr>
          <w:rFonts w:ascii="Arial" w:hAnsi="Arial"/>
          <w:color w:val="000000" w:themeColor="text1"/>
          <w:sz w:val="20"/>
        </w:rPr>
        <w:t xml:space="preserve">Bonus fund for </w:t>
      </w:r>
      <w:r w:rsidR="00B66A65" w:rsidRPr="00B66A65">
        <w:rPr>
          <w:rFonts w:ascii="Arial" w:hAnsi="Arial"/>
          <w:color w:val="000000" w:themeColor="text1"/>
          <w:sz w:val="20"/>
        </w:rPr>
        <w:t xml:space="preserve">the </w:t>
      </w:r>
      <w:r w:rsidRPr="00B66A65">
        <w:rPr>
          <w:rFonts w:ascii="Arial" w:hAnsi="Arial"/>
          <w:color w:val="000000" w:themeColor="text1"/>
          <w:sz w:val="20"/>
        </w:rPr>
        <w:t xml:space="preserve">Executive Board: 5% </w:t>
      </w:r>
      <w:r w:rsidR="00B66A65" w:rsidRPr="00B66A65">
        <w:rPr>
          <w:rFonts w:ascii="Arial" w:hAnsi="Arial"/>
          <w:color w:val="000000" w:themeColor="text1"/>
          <w:sz w:val="20"/>
        </w:rPr>
        <w:t xml:space="preserve">of </w:t>
      </w:r>
      <w:r w:rsidRPr="00B66A65">
        <w:rPr>
          <w:rFonts w:ascii="Arial" w:hAnsi="Arial"/>
          <w:color w:val="000000" w:themeColor="text1"/>
          <w:sz w:val="20"/>
        </w:rPr>
        <w:t>Profit after tax</w:t>
      </w:r>
    </w:p>
    <w:p w14:paraId="43639BEE" w14:textId="0BEB7FD4" w:rsidR="00AF3C17" w:rsidRPr="00B66A65" w:rsidRDefault="0049705D" w:rsidP="00C93149">
      <w:pPr>
        <w:pStyle w:val="ListParagraph"/>
        <w:numPr>
          <w:ilvl w:val="0"/>
          <w:numId w:val="5"/>
        </w:numPr>
        <w:pBdr>
          <w:top w:val="nil"/>
          <w:left w:val="nil"/>
          <w:bottom w:val="nil"/>
          <w:right w:val="nil"/>
          <w:between w:val="nil"/>
        </w:pBdr>
        <w:tabs>
          <w:tab w:val="left" w:pos="284"/>
          <w:tab w:val="left" w:pos="4933"/>
          <w:tab w:val="left" w:pos="5103"/>
        </w:tabs>
        <w:spacing w:after="120" w:line="360" w:lineRule="auto"/>
        <w:ind w:left="0" w:firstLine="0"/>
        <w:contextualSpacing w:val="0"/>
        <w:jc w:val="both"/>
        <w:rPr>
          <w:rFonts w:ascii="Arial" w:eastAsia="Arial" w:hAnsi="Arial" w:cs="Arial"/>
          <w:color w:val="000000" w:themeColor="text1"/>
          <w:sz w:val="20"/>
          <w:szCs w:val="20"/>
        </w:rPr>
      </w:pPr>
      <w:r w:rsidRPr="00B66A65">
        <w:rPr>
          <w:rFonts w:ascii="Arial" w:hAnsi="Arial"/>
          <w:color w:val="000000" w:themeColor="text1"/>
          <w:sz w:val="20"/>
        </w:rPr>
        <w:t xml:space="preserve">Investment and development fund: The remaining undistributed profit after </w:t>
      </w:r>
      <w:r w:rsidR="00B66A65" w:rsidRPr="00B66A65">
        <w:rPr>
          <w:rFonts w:ascii="Arial" w:hAnsi="Arial"/>
          <w:color w:val="000000" w:themeColor="text1"/>
          <w:sz w:val="20"/>
        </w:rPr>
        <w:t>appropriation</w:t>
      </w:r>
      <w:r w:rsidRPr="00B66A65">
        <w:rPr>
          <w:rFonts w:ascii="Arial" w:hAnsi="Arial"/>
          <w:color w:val="000000" w:themeColor="text1"/>
          <w:sz w:val="20"/>
        </w:rPr>
        <w:t xml:space="preserve"> </w:t>
      </w:r>
      <w:r w:rsidR="00B66A65" w:rsidRPr="00B66A65">
        <w:rPr>
          <w:rFonts w:ascii="Arial" w:hAnsi="Arial"/>
          <w:color w:val="000000" w:themeColor="text1"/>
          <w:sz w:val="20"/>
        </w:rPr>
        <w:t>for</w:t>
      </w:r>
      <w:r w:rsidRPr="00B66A65">
        <w:rPr>
          <w:rFonts w:ascii="Arial" w:hAnsi="Arial"/>
          <w:color w:val="000000" w:themeColor="text1"/>
          <w:sz w:val="20"/>
        </w:rPr>
        <w:t xml:space="preserve"> funds and dividend</w:t>
      </w:r>
      <w:r w:rsidR="00B66A65" w:rsidRPr="00B66A65">
        <w:rPr>
          <w:rFonts w:ascii="Arial" w:hAnsi="Arial"/>
          <w:color w:val="000000" w:themeColor="text1"/>
          <w:sz w:val="20"/>
        </w:rPr>
        <w:t xml:space="preserve"> payment</w:t>
      </w:r>
    </w:p>
    <w:p w14:paraId="5F61E342" w14:textId="754541BD" w:rsidR="00AF3C17" w:rsidRPr="00B66A65" w:rsidRDefault="0049705D" w:rsidP="00C93149">
      <w:pPr>
        <w:pBdr>
          <w:top w:val="nil"/>
          <w:left w:val="nil"/>
          <w:bottom w:val="nil"/>
          <w:right w:val="nil"/>
          <w:between w:val="nil"/>
        </w:pBdr>
        <w:tabs>
          <w:tab w:val="left" w:pos="284"/>
        </w:tabs>
        <w:spacing w:after="120" w:line="360" w:lineRule="auto"/>
        <w:jc w:val="both"/>
        <w:rPr>
          <w:rFonts w:ascii="Arial" w:eastAsia="Arial" w:hAnsi="Arial" w:cs="Arial"/>
          <w:color w:val="000000" w:themeColor="text1"/>
          <w:sz w:val="20"/>
          <w:szCs w:val="20"/>
        </w:rPr>
      </w:pPr>
      <w:r w:rsidRPr="00B66A65">
        <w:rPr>
          <w:rFonts w:ascii="Arial" w:hAnsi="Arial"/>
          <w:color w:val="000000" w:themeColor="text1"/>
          <w:sz w:val="20"/>
        </w:rPr>
        <w:t xml:space="preserve">Article 6: Approve the Proposal on the remuneration </w:t>
      </w:r>
      <w:r w:rsidR="00B66A65" w:rsidRPr="00B66A65">
        <w:rPr>
          <w:rFonts w:ascii="Arial" w:hAnsi="Arial"/>
          <w:color w:val="000000" w:themeColor="text1"/>
          <w:sz w:val="20"/>
        </w:rPr>
        <w:t>for</w:t>
      </w:r>
      <w:r w:rsidRPr="00B66A65">
        <w:rPr>
          <w:rFonts w:ascii="Arial" w:hAnsi="Arial"/>
          <w:color w:val="000000" w:themeColor="text1"/>
          <w:sz w:val="20"/>
        </w:rPr>
        <w:t xml:space="preserve"> the Company’s Board of Directors</w:t>
      </w:r>
      <w:r w:rsidR="00B66A65" w:rsidRPr="00B66A65">
        <w:rPr>
          <w:rFonts w:ascii="Arial" w:hAnsi="Arial"/>
          <w:color w:val="000000" w:themeColor="text1"/>
          <w:sz w:val="20"/>
        </w:rPr>
        <w:t xml:space="preserve"> and</w:t>
      </w:r>
      <w:r w:rsidRPr="00B66A65">
        <w:rPr>
          <w:rFonts w:ascii="Arial" w:hAnsi="Arial"/>
          <w:color w:val="000000" w:themeColor="text1"/>
          <w:sz w:val="20"/>
        </w:rPr>
        <w:t xml:space="preserve"> the Supervisory Board in 2023</w:t>
      </w:r>
      <w:r w:rsidR="00B66A65" w:rsidRPr="00B66A65">
        <w:rPr>
          <w:rFonts w:ascii="Arial" w:hAnsi="Arial"/>
          <w:color w:val="000000" w:themeColor="text1"/>
          <w:sz w:val="20"/>
        </w:rPr>
        <w:t>,</w:t>
      </w:r>
      <w:r w:rsidRPr="00B66A65">
        <w:rPr>
          <w:rFonts w:ascii="Arial" w:hAnsi="Arial"/>
          <w:color w:val="000000" w:themeColor="text1"/>
          <w:sz w:val="20"/>
        </w:rPr>
        <w:t xml:space="preserve"> and the remuneration plan for 2024.</w:t>
      </w:r>
    </w:p>
    <w:p w14:paraId="49584719" w14:textId="77777777" w:rsidR="00AF3C17" w:rsidRPr="00B66A65" w:rsidRDefault="0049705D" w:rsidP="00C93149">
      <w:pPr>
        <w:pBdr>
          <w:top w:val="nil"/>
          <w:left w:val="nil"/>
          <w:bottom w:val="nil"/>
          <w:right w:val="nil"/>
          <w:between w:val="nil"/>
        </w:pBdr>
        <w:tabs>
          <w:tab w:val="left" w:pos="284"/>
        </w:tabs>
        <w:spacing w:after="120" w:line="360" w:lineRule="auto"/>
        <w:jc w:val="both"/>
        <w:rPr>
          <w:rFonts w:ascii="Arial" w:eastAsia="Arial" w:hAnsi="Arial" w:cs="Arial"/>
          <w:color w:val="000000" w:themeColor="text1"/>
          <w:sz w:val="20"/>
          <w:szCs w:val="20"/>
        </w:rPr>
      </w:pPr>
      <w:r w:rsidRPr="00B66A65">
        <w:rPr>
          <w:rFonts w:ascii="Arial" w:hAnsi="Arial"/>
          <w:color w:val="000000" w:themeColor="text1"/>
          <w:sz w:val="20"/>
        </w:rPr>
        <w:t>Article 7: Approve the Proposal on selecting an audit company for the Financial Statements 2024.</w:t>
      </w:r>
    </w:p>
    <w:p w14:paraId="5AAC680A" w14:textId="5C218B7D" w:rsidR="00AF3C17" w:rsidRPr="00B66A65" w:rsidRDefault="0049705D" w:rsidP="00C93149">
      <w:pPr>
        <w:pBdr>
          <w:top w:val="nil"/>
          <w:left w:val="nil"/>
          <w:bottom w:val="nil"/>
          <w:right w:val="nil"/>
          <w:between w:val="nil"/>
        </w:pBdr>
        <w:tabs>
          <w:tab w:val="left" w:pos="284"/>
        </w:tabs>
        <w:spacing w:after="120" w:line="360" w:lineRule="auto"/>
        <w:jc w:val="both"/>
        <w:rPr>
          <w:rFonts w:ascii="Arial" w:eastAsia="Arial" w:hAnsi="Arial" w:cs="Arial"/>
          <w:color w:val="000000" w:themeColor="text1"/>
          <w:sz w:val="20"/>
          <w:szCs w:val="20"/>
        </w:rPr>
      </w:pPr>
      <w:r w:rsidRPr="00B66A65">
        <w:rPr>
          <w:rFonts w:ascii="Arial" w:hAnsi="Arial"/>
          <w:color w:val="000000" w:themeColor="text1"/>
          <w:sz w:val="20"/>
        </w:rPr>
        <w:t xml:space="preserve">Article 8: Approve the Proposal on Contracts and Transactions between the Company and the Vietnam Education Publishing House or dependent accounting unit authorized by the Vietnam Education Publishing House or related companies within the </w:t>
      </w:r>
      <w:r w:rsidR="00B66A65" w:rsidRPr="00B66A65">
        <w:rPr>
          <w:rFonts w:ascii="Arial" w:hAnsi="Arial"/>
          <w:color w:val="000000" w:themeColor="text1"/>
          <w:sz w:val="20"/>
        </w:rPr>
        <w:t xml:space="preserve">Holding Company </w:t>
      </w:r>
      <w:r w:rsidRPr="00B66A65">
        <w:rPr>
          <w:rFonts w:ascii="Arial" w:hAnsi="Arial"/>
          <w:color w:val="000000" w:themeColor="text1"/>
          <w:sz w:val="20"/>
        </w:rPr>
        <w:t xml:space="preserve">- subsidiary system </w:t>
      </w:r>
      <w:r w:rsidR="00B66A65" w:rsidRPr="00B66A65">
        <w:rPr>
          <w:rFonts w:ascii="Arial" w:hAnsi="Arial"/>
          <w:color w:val="000000" w:themeColor="text1"/>
          <w:sz w:val="20"/>
        </w:rPr>
        <w:t>of</w:t>
      </w:r>
      <w:r w:rsidRPr="00B66A65">
        <w:rPr>
          <w:rFonts w:ascii="Arial" w:hAnsi="Arial"/>
          <w:color w:val="000000" w:themeColor="text1"/>
          <w:sz w:val="20"/>
        </w:rPr>
        <w:t xml:space="preserve"> the Vietnam Education Publishing House system.</w:t>
      </w:r>
    </w:p>
    <w:p w14:paraId="23203F4C" w14:textId="07850D55" w:rsidR="00AF3C17" w:rsidRPr="00B66A65" w:rsidRDefault="0049705D" w:rsidP="00C93149">
      <w:pPr>
        <w:pBdr>
          <w:top w:val="nil"/>
          <w:left w:val="nil"/>
          <w:bottom w:val="nil"/>
          <w:right w:val="nil"/>
          <w:between w:val="nil"/>
        </w:pBdr>
        <w:tabs>
          <w:tab w:val="left" w:pos="284"/>
        </w:tabs>
        <w:spacing w:after="120" w:line="360" w:lineRule="auto"/>
        <w:jc w:val="both"/>
        <w:rPr>
          <w:rFonts w:ascii="Arial" w:eastAsia="Arial" w:hAnsi="Arial" w:cs="Arial"/>
          <w:color w:val="000000" w:themeColor="text1"/>
          <w:sz w:val="20"/>
          <w:szCs w:val="20"/>
        </w:rPr>
      </w:pPr>
      <w:r w:rsidRPr="00B66A65">
        <w:rPr>
          <w:rFonts w:ascii="Arial" w:hAnsi="Arial"/>
          <w:color w:val="000000" w:themeColor="text1"/>
          <w:sz w:val="20"/>
        </w:rPr>
        <w:t xml:space="preserve">The General Mandate </w:t>
      </w:r>
      <w:r w:rsidR="00B66A65" w:rsidRPr="00B66A65">
        <w:rPr>
          <w:rFonts w:ascii="Arial" w:hAnsi="Arial"/>
          <w:color w:val="000000" w:themeColor="text1"/>
          <w:sz w:val="20"/>
        </w:rPr>
        <w:t>is</w:t>
      </w:r>
      <w:r w:rsidRPr="00B66A65">
        <w:rPr>
          <w:rFonts w:ascii="Arial" w:hAnsi="Arial"/>
          <w:color w:val="000000" w:themeColor="text1"/>
          <w:sz w:val="20"/>
        </w:rPr>
        <w:t xml:space="preserve"> approved by the General Meeting of Shareholders of  Phuong Nam Education Investment and Development JSC at the Meeting. The Board of Directors, the Board of Management, and related individuals are responsible for the implementation of this General Mandate. This General Mandate takes effect from the date of its signing.</w:t>
      </w:r>
      <w:bookmarkStart w:id="0" w:name="_GoBack"/>
      <w:bookmarkEnd w:id="0"/>
    </w:p>
    <w:sectPr w:rsidR="00AF3C17" w:rsidRPr="00B66A65" w:rsidSect="00BC3CBD">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4128"/>
    <w:multiLevelType w:val="hybridMultilevel"/>
    <w:tmpl w:val="65144FA6"/>
    <w:lvl w:ilvl="0" w:tplc="42C4CEC8">
      <w:numFmt w:val="bullet"/>
      <w:lvlText w:val="+"/>
      <w:lvlJc w:val="left"/>
      <w:pPr>
        <w:ind w:left="720" w:hanging="360"/>
      </w:pPr>
      <w:rPr>
        <w:rFonts w:ascii="Arial" w:eastAsia="Courier New" w:hAnsi="Arial" w:hint="default"/>
        <w:b w:val="0"/>
        <w:i w:val="0"/>
        <w:sz w:val="20"/>
      </w:rPr>
    </w:lvl>
    <w:lvl w:ilvl="1" w:tplc="25AA7620" w:tentative="1">
      <w:start w:val="1"/>
      <w:numFmt w:val="bullet"/>
      <w:lvlText w:val="o"/>
      <w:lvlJc w:val="left"/>
      <w:pPr>
        <w:ind w:left="1440" w:hanging="360"/>
      </w:pPr>
      <w:rPr>
        <w:rFonts w:ascii="Courier New" w:hAnsi="Courier New" w:cs="Courier New" w:hint="default"/>
        <w:b w:val="0"/>
        <w:i w:val="0"/>
        <w:sz w:val="20"/>
      </w:rPr>
    </w:lvl>
    <w:lvl w:ilvl="2" w:tplc="1A14BD3E"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93616"/>
    <w:multiLevelType w:val="multilevel"/>
    <w:tmpl w:val="CCD21EF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19"/>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61F5247"/>
    <w:multiLevelType w:val="multilevel"/>
    <w:tmpl w:val="799A6E7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AF56AD9"/>
    <w:multiLevelType w:val="hybridMultilevel"/>
    <w:tmpl w:val="FC389C10"/>
    <w:lvl w:ilvl="0" w:tplc="2F5AD9B2">
      <w:numFmt w:val="bullet"/>
      <w:lvlText w:val="+"/>
      <w:lvlJc w:val="left"/>
      <w:pPr>
        <w:ind w:left="720" w:hanging="360"/>
      </w:pPr>
      <w:rPr>
        <w:rFonts w:ascii="Arial" w:eastAsia="Courier New" w:hAnsi="Arial" w:hint="default"/>
        <w:b w:val="0"/>
        <w:i w:val="0"/>
        <w:sz w:val="20"/>
      </w:rPr>
    </w:lvl>
    <w:lvl w:ilvl="1" w:tplc="29924398" w:tentative="1">
      <w:start w:val="1"/>
      <w:numFmt w:val="bullet"/>
      <w:lvlText w:val="o"/>
      <w:lvlJc w:val="left"/>
      <w:pPr>
        <w:ind w:left="1440" w:hanging="360"/>
      </w:pPr>
      <w:rPr>
        <w:rFonts w:ascii="Courier New" w:hAnsi="Courier New" w:cs="Courier New" w:hint="default"/>
        <w:b w:val="0"/>
        <w:i w:val="0"/>
        <w:sz w:val="20"/>
      </w:rPr>
    </w:lvl>
    <w:lvl w:ilvl="2" w:tplc="C2D290FC"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25C07"/>
    <w:multiLevelType w:val="multilevel"/>
    <w:tmpl w:val="A204FE06"/>
    <w:lvl w:ilvl="0">
      <w:start w:val="1"/>
      <w:numFmt w:val="upperRoman"/>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17"/>
    <w:rsid w:val="0049705D"/>
    <w:rsid w:val="00AF3C17"/>
    <w:rsid w:val="00B66A65"/>
    <w:rsid w:val="00BC3CBD"/>
    <w:rsid w:val="00C93149"/>
    <w:rsid w:val="00F00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1BAB"/>
  <w15:docId w15:val="{5F342336-85D3-471E-B0C5-40EC1DF6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9"/>
      <w:szCs w:val="19"/>
      <w:u w:val="none"/>
      <w:shd w:val="clear" w:color="auto" w:fill="auto"/>
    </w:rPr>
  </w:style>
  <w:style w:type="character" w:customStyle="1" w:styleId="Heading20">
    <w:name w:val="Heading #2_"/>
    <w:basedOn w:val="DefaultParagraphFont"/>
    <w:link w:val="Heading21"/>
    <w:rPr>
      <w:rFonts w:ascii="Arial" w:eastAsia="Arial" w:hAnsi="Arial" w:cs="Arial"/>
      <w:b/>
      <w:bCs/>
      <w:i w:val="0"/>
      <w:iCs w:val="0"/>
      <w:smallCaps w:val="0"/>
      <w:strike w:val="0"/>
      <w:w w:val="70"/>
      <w:sz w:val="28"/>
      <w:szCs w:val="28"/>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sz w:val="14"/>
      <w:szCs w:val="14"/>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sz w:val="12"/>
      <w:szCs w:val="1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basedOn w:val="DefaultParagraphFont"/>
    <w:link w:val="Tablecaption0"/>
    <w:rPr>
      <w:rFonts w:ascii="Arial" w:eastAsia="Arial" w:hAnsi="Arial" w:cs="Arial"/>
      <w:b/>
      <w:bCs/>
      <w:i w:val="0"/>
      <w:iCs w:val="0"/>
      <w:smallCaps w:val="0"/>
      <w:strike w:val="0"/>
      <w:sz w:val="12"/>
      <w:szCs w:val="1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19"/>
      <w:szCs w:val="19"/>
      <w:u w:val="none"/>
      <w:shd w:val="clear" w:color="auto" w:fill="auto"/>
    </w:rPr>
  </w:style>
  <w:style w:type="paragraph" w:styleId="BodyText">
    <w:name w:val="Body Text"/>
    <w:basedOn w:val="Normal"/>
    <w:link w:val="BodyTextChar"/>
    <w:qFormat/>
    <w:pPr>
      <w:spacing w:line="360" w:lineRule="auto"/>
      <w:ind w:firstLine="400"/>
    </w:pPr>
    <w:rPr>
      <w:rFonts w:ascii="Times New Roman" w:eastAsia="Times New Roman" w:hAnsi="Times New Roman" w:cs="Times New Roman"/>
    </w:rPr>
  </w:style>
  <w:style w:type="paragraph" w:customStyle="1" w:styleId="Heading31">
    <w:name w:val="Heading #3"/>
    <w:basedOn w:val="Normal"/>
    <w:link w:val="Heading30"/>
    <w:pPr>
      <w:spacing w:line="353" w:lineRule="auto"/>
      <w:ind w:firstLine="170"/>
      <w:outlineLvl w:val="2"/>
    </w:pPr>
    <w:rPr>
      <w:rFonts w:ascii="Times New Roman" w:eastAsia="Times New Roman" w:hAnsi="Times New Roman" w:cs="Times New Roman"/>
      <w:b/>
      <w:bCs/>
    </w:rPr>
  </w:style>
  <w:style w:type="paragraph" w:customStyle="1" w:styleId="Bodytext30">
    <w:name w:val="Body text (3)"/>
    <w:basedOn w:val="Normal"/>
    <w:link w:val="Bodytext3"/>
    <w:pPr>
      <w:ind w:left="510" w:firstLine="250"/>
    </w:pPr>
    <w:rPr>
      <w:rFonts w:ascii="Arial" w:eastAsia="Arial" w:hAnsi="Arial" w:cs="Arial"/>
      <w:sz w:val="19"/>
      <w:szCs w:val="19"/>
    </w:rPr>
  </w:style>
  <w:style w:type="paragraph" w:customStyle="1" w:styleId="Heading21">
    <w:name w:val="Heading #2"/>
    <w:basedOn w:val="Normal"/>
    <w:link w:val="Heading20"/>
    <w:pPr>
      <w:ind w:left="1500"/>
      <w:outlineLvl w:val="1"/>
    </w:pPr>
    <w:rPr>
      <w:rFonts w:ascii="Arial" w:eastAsia="Arial" w:hAnsi="Arial" w:cs="Arial"/>
      <w:b/>
      <w:bCs/>
      <w:w w:val="70"/>
      <w:sz w:val="28"/>
      <w:szCs w:val="28"/>
    </w:rPr>
  </w:style>
  <w:style w:type="paragraph" w:customStyle="1" w:styleId="Bodytext20">
    <w:name w:val="Body text (2)"/>
    <w:basedOn w:val="Normal"/>
    <w:link w:val="Bodytext2"/>
    <w:pPr>
      <w:spacing w:line="230" w:lineRule="auto"/>
      <w:ind w:left="1070" w:firstLine="720"/>
    </w:pPr>
    <w:rPr>
      <w:rFonts w:ascii="Arial" w:eastAsia="Arial" w:hAnsi="Arial" w:cs="Arial"/>
      <w:b/>
      <w:bCs/>
      <w:sz w:val="14"/>
      <w:szCs w:val="14"/>
    </w:rPr>
  </w:style>
  <w:style w:type="paragraph" w:customStyle="1" w:styleId="Bodytext40">
    <w:name w:val="Body text (4)"/>
    <w:basedOn w:val="Normal"/>
    <w:link w:val="Bodytext4"/>
    <w:pPr>
      <w:ind w:left="1200"/>
    </w:pPr>
    <w:rPr>
      <w:rFonts w:ascii="Arial" w:eastAsia="Arial" w:hAnsi="Arial" w:cs="Arial"/>
      <w:b/>
      <w:bCs/>
      <w:sz w:val="12"/>
      <w:szCs w:val="12"/>
    </w:rPr>
  </w:style>
  <w:style w:type="paragraph" w:customStyle="1" w:styleId="Other0">
    <w:name w:val="Other"/>
    <w:basedOn w:val="Normal"/>
    <w:link w:val="Other"/>
    <w:pPr>
      <w:spacing w:line="360" w:lineRule="auto"/>
      <w:ind w:firstLine="400"/>
    </w:pPr>
    <w:rPr>
      <w:rFonts w:ascii="Times New Roman" w:eastAsia="Times New Roman" w:hAnsi="Times New Roman" w:cs="Times New Roman"/>
    </w:rPr>
  </w:style>
  <w:style w:type="paragraph" w:customStyle="1" w:styleId="Tablecaption0">
    <w:name w:val="Table caption"/>
    <w:basedOn w:val="Normal"/>
    <w:link w:val="Tablecaption"/>
    <w:pPr>
      <w:ind w:firstLine="420"/>
    </w:pPr>
    <w:rPr>
      <w:rFonts w:ascii="Arial" w:eastAsia="Arial" w:hAnsi="Arial" w:cs="Arial"/>
      <w:b/>
      <w:bCs/>
      <w:sz w:val="12"/>
      <w:szCs w:val="12"/>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customStyle="1" w:styleId="Bodytext50">
    <w:name w:val="Body text (5)"/>
    <w:basedOn w:val="Normal"/>
    <w:link w:val="Bodytext5"/>
    <w:pPr>
      <w:ind w:firstLine="880"/>
    </w:pPr>
    <w:rPr>
      <w:rFonts w:ascii="Times New Roman" w:eastAsia="Times New Roman" w:hAnsi="Times New Roman" w:cs="Times New Roman"/>
      <w:i/>
      <w:iCs/>
      <w:sz w:val="19"/>
      <w:szCs w:val="19"/>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497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dAXx++H97OwN0NjYpKns96EWbQ==">CgMxLjA4AHIhMU5JTHhIT2xQMW91R3FCTEFaY1NXR1QwbUtNendwUTVC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6</cp:revision>
  <dcterms:created xsi:type="dcterms:W3CDTF">2024-04-29T08:33:00Z</dcterms:created>
  <dcterms:modified xsi:type="dcterms:W3CDTF">2024-05-03T03:56:00Z</dcterms:modified>
</cp:coreProperties>
</file>