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333C"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bCs/>
          <w:color w:val="010000"/>
          <w:sz w:val="20"/>
        </w:rPr>
        <w:t>TH1:</w:t>
      </w:r>
      <w:r>
        <w:rPr>
          <w:rFonts w:ascii="Arial" w:hAnsi="Arial"/>
          <w:b/>
          <w:color w:val="010000"/>
          <w:sz w:val="20"/>
        </w:rPr>
        <w:t xml:space="preserve"> Annual General Mandate 2024</w:t>
      </w:r>
    </w:p>
    <w:p w14:paraId="396F78CA"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25, 2024, The Vietnam National General Export - Import Joint Stock Company No.1 announced General Mandate No. 01/NQ-DHDCD-2024 as follows:</w:t>
      </w:r>
    </w:p>
    <w:p w14:paraId="0479AED5"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Report on the results of production and business activities in 2023, audited Financial Statements for the year, and production and business plans for 2024, with details as follows:</w:t>
      </w:r>
    </w:p>
    <w:p w14:paraId="4B34E5DD"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of implementing some basic financial targets in 2023 (2023 Financial Statements audited by AASC Auditing Company Limited) are as follows:</w:t>
      </w:r>
    </w:p>
    <w:p w14:paraId="476329E0" w14:textId="77777777" w:rsidR="001F1935" w:rsidRDefault="00DE5878" w:rsidP="00075069">
      <w:pPr>
        <w:numPr>
          <w:ilvl w:val="0"/>
          <w:numId w:val="3"/>
        </w:num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Pr>
          <w:rFonts w:ascii="Arial" w:hAnsi="Arial"/>
          <w:color w:val="010000"/>
          <w:sz w:val="20"/>
        </w:rPr>
        <w:t>Total revenue: VND 442,130,939,529</w:t>
      </w:r>
    </w:p>
    <w:p w14:paraId="424A4101" w14:textId="77777777" w:rsidR="001F1935" w:rsidRDefault="00DE5878" w:rsidP="00075069">
      <w:pPr>
        <w:numPr>
          <w:ilvl w:val="0"/>
          <w:numId w:val="3"/>
        </w:num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Pr>
          <w:rFonts w:ascii="Arial" w:hAnsi="Arial"/>
          <w:color w:val="010000"/>
          <w:sz w:val="20"/>
        </w:rPr>
        <w:t>Total expenses: VND 394,478,121,144.</w:t>
      </w:r>
    </w:p>
    <w:p w14:paraId="35AC99E8" w14:textId="77777777" w:rsidR="001F1935" w:rsidRDefault="00DE5878" w:rsidP="00075069">
      <w:pPr>
        <w:numPr>
          <w:ilvl w:val="0"/>
          <w:numId w:val="3"/>
        </w:num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Pr>
          <w:rFonts w:ascii="Arial" w:hAnsi="Arial"/>
          <w:color w:val="010000"/>
          <w:sz w:val="20"/>
        </w:rPr>
        <w:t>Profit after tax: VND 42,194,558,785.</w:t>
      </w:r>
    </w:p>
    <w:p w14:paraId="39992B41" w14:textId="77777777" w:rsidR="001F1935" w:rsidRDefault="00DE5878" w:rsidP="00075069">
      <w:p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Pr>
          <w:rFonts w:ascii="Arial" w:hAnsi="Arial"/>
          <w:color w:val="010000"/>
          <w:sz w:val="20"/>
        </w:rPr>
        <w:t>Business targets in 2024;</w:t>
      </w:r>
    </w:p>
    <w:p w14:paraId="441D2B83" w14:textId="52B2B37B" w:rsidR="001F1935" w:rsidRDefault="00DE5878" w:rsidP="00B9394F">
      <w:pPr>
        <w:pBdr>
          <w:top w:val="nil"/>
          <w:left w:val="nil"/>
          <w:bottom w:val="nil"/>
          <w:right w:val="nil"/>
          <w:between w:val="nil"/>
        </w:pBdr>
        <w:tabs>
          <w:tab w:val="left" w:pos="432"/>
          <w:tab w:val="left" w:pos="792"/>
        </w:tabs>
        <w:spacing w:after="120" w:line="360" w:lineRule="auto"/>
        <w:jc w:val="right"/>
        <w:rPr>
          <w:rFonts w:ascii="Arial" w:hAnsi="Arial"/>
          <w:color w:val="010000"/>
          <w:sz w:val="20"/>
        </w:rPr>
      </w:pPr>
      <w:r>
        <w:rPr>
          <w:rFonts w:ascii="Arial" w:hAnsi="Arial"/>
          <w:color w:val="010000"/>
          <w:sz w:val="20"/>
        </w:rPr>
        <w:t>Unit: Billion VND</w:t>
      </w:r>
    </w:p>
    <w:tbl>
      <w:tblPr>
        <w:tblStyle w:val="a"/>
        <w:tblW w:w="916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3675"/>
        <w:gridCol w:w="4802"/>
      </w:tblGrid>
      <w:tr w:rsidR="001F1935" w14:paraId="1DDB9B88" w14:textId="77777777" w:rsidTr="00B9394F">
        <w:tc>
          <w:tcPr>
            <w:tcW w:w="690" w:type="dxa"/>
            <w:shd w:val="clear" w:color="auto" w:fill="auto"/>
            <w:tcMar>
              <w:top w:w="100" w:type="dxa"/>
              <w:left w:w="100" w:type="dxa"/>
              <w:bottom w:w="100" w:type="dxa"/>
              <w:right w:w="100" w:type="dxa"/>
            </w:tcMar>
          </w:tcPr>
          <w:p w14:paraId="2E1B24B2" w14:textId="41543423" w:rsidR="001F1935" w:rsidRDefault="00DE5878" w:rsidP="00284C11">
            <w:pPr>
              <w:pBdr>
                <w:top w:val="nil"/>
                <w:left w:val="nil"/>
                <w:bottom w:val="nil"/>
                <w:right w:val="nil"/>
                <w:between w:val="nil"/>
              </w:pBdr>
              <w:jc w:val="center"/>
              <w:rPr>
                <w:rFonts w:ascii="Arial" w:eastAsia="Arial" w:hAnsi="Arial" w:cs="Arial"/>
                <w:color w:val="010000"/>
                <w:sz w:val="20"/>
                <w:szCs w:val="20"/>
              </w:rPr>
            </w:pPr>
            <w:r>
              <w:rPr>
                <w:rFonts w:ascii="Arial" w:eastAsia="Arial" w:hAnsi="Arial" w:cs="Arial"/>
                <w:color w:val="010000"/>
                <w:sz w:val="20"/>
                <w:szCs w:val="20"/>
              </w:rPr>
              <w:t>No.</w:t>
            </w:r>
          </w:p>
        </w:tc>
        <w:tc>
          <w:tcPr>
            <w:tcW w:w="3675" w:type="dxa"/>
            <w:shd w:val="clear" w:color="auto" w:fill="auto"/>
            <w:tcMar>
              <w:top w:w="100" w:type="dxa"/>
              <w:left w:w="100" w:type="dxa"/>
              <w:bottom w:w="100" w:type="dxa"/>
              <w:right w:w="100" w:type="dxa"/>
            </w:tcMar>
          </w:tcPr>
          <w:p w14:paraId="625B8DEA" w14:textId="01033D27" w:rsidR="001F1935" w:rsidRDefault="00DE5878" w:rsidP="00284C11">
            <w:pPr>
              <w:pBdr>
                <w:top w:val="nil"/>
                <w:left w:val="nil"/>
                <w:bottom w:val="nil"/>
                <w:right w:val="nil"/>
                <w:between w:val="nil"/>
              </w:pBdr>
              <w:jc w:val="center"/>
              <w:rPr>
                <w:rFonts w:ascii="Arial" w:eastAsia="Arial" w:hAnsi="Arial" w:cs="Arial"/>
                <w:color w:val="010000"/>
                <w:sz w:val="20"/>
                <w:szCs w:val="20"/>
              </w:rPr>
            </w:pPr>
            <w:r>
              <w:rPr>
                <w:rFonts w:ascii="Arial" w:eastAsia="Arial" w:hAnsi="Arial" w:cs="Arial"/>
                <w:color w:val="010000"/>
                <w:sz w:val="20"/>
                <w:szCs w:val="20"/>
              </w:rPr>
              <w:t>Targets</w:t>
            </w:r>
          </w:p>
        </w:tc>
        <w:tc>
          <w:tcPr>
            <w:tcW w:w="4802" w:type="dxa"/>
            <w:shd w:val="clear" w:color="auto" w:fill="auto"/>
            <w:tcMar>
              <w:top w:w="100" w:type="dxa"/>
              <w:left w:w="100" w:type="dxa"/>
              <w:bottom w:w="100" w:type="dxa"/>
              <w:right w:w="100" w:type="dxa"/>
            </w:tcMar>
          </w:tcPr>
          <w:p w14:paraId="6D602E42" w14:textId="05777D6F" w:rsidR="001F1935" w:rsidRDefault="00DE5878" w:rsidP="00284C11">
            <w:pPr>
              <w:pBdr>
                <w:top w:val="nil"/>
                <w:left w:val="nil"/>
                <w:bottom w:val="nil"/>
                <w:right w:val="nil"/>
                <w:between w:val="nil"/>
              </w:pBdr>
              <w:jc w:val="center"/>
              <w:rPr>
                <w:rFonts w:ascii="Arial" w:eastAsia="Arial" w:hAnsi="Arial" w:cs="Arial"/>
                <w:color w:val="010000"/>
                <w:sz w:val="20"/>
                <w:szCs w:val="20"/>
              </w:rPr>
            </w:pPr>
            <w:r>
              <w:rPr>
                <w:rFonts w:ascii="Arial" w:eastAsia="Arial" w:hAnsi="Arial" w:cs="Arial"/>
                <w:color w:val="010000"/>
                <w:sz w:val="20"/>
                <w:szCs w:val="20"/>
              </w:rPr>
              <w:t>Plan 2024</w:t>
            </w:r>
          </w:p>
        </w:tc>
      </w:tr>
      <w:tr w:rsidR="001F1935" w14:paraId="0301251A" w14:textId="77777777" w:rsidTr="00B9394F">
        <w:tc>
          <w:tcPr>
            <w:tcW w:w="690" w:type="dxa"/>
            <w:shd w:val="clear" w:color="auto" w:fill="auto"/>
            <w:tcMar>
              <w:top w:w="100" w:type="dxa"/>
              <w:left w:w="100" w:type="dxa"/>
              <w:bottom w:w="100" w:type="dxa"/>
              <w:right w:w="100" w:type="dxa"/>
            </w:tcMar>
          </w:tcPr>
          <w:p w14:paraId="0CEA6622" w14:textId="77777777" w:rsidR="001F1935" w:rsidRDefault="00DE5878" w:rsidP="00284C11">
            <w:pPr>
              <w:pBdr>
                <w:top w:val="nil"/>
                <w:left w:val="nil"/>
                <w:bottom w:val="nil"/>
                <w:right w:val="nil"/>
                <w:between w:val="nil"/>
              </w:pBdr>
              <w:jc w:val="center"/>
              <w:rPr>
                <w:rFonts w:ascii="Arial" w:eastAsia="Arial" w:hAnsi="Arial" w:cs="Arial"/>
                <w:color w:val="010000"/>
                <w:sz w:val="20"/>
                <w:szCs w:val="20"/>
              </w:rPr>
            </w:pPr>
            <w:r>
              <w:rPr>
                <w:rFonts w:ascii="Arial" w:eastAsia="Arial" w:hAnsi="Arial" w:cs="Arial"/>
                <w:color w:val="010000"/>
                <w:sz w:val="20"/>
                <w:szCs w:val="20"/>
              </w:rPr>
              <w:t>1</w:t>
            </w:r>
          </w:p>
        </w:tc>
        <w:tc>
          <w:tcPr>
            <w:tcW w:w="3675" w:type="dxa"/>
            <w:shd w:val="clear" w:color="auto" w:fill="auto"/>
            <w:tcMar>
              <w:top w:w="100" w:type="dxa"/>
              <w:left w:w="100" w:type="dxa"/>
              <w:bottom w:w="100" w:type="dxa"/>
              <w:right w:w="100" w:type="dxa"/>
            </w:tcMar>
          </w:tcPr>
          <w:p w14:paraId="175CE2E5" w14:textId="308F2D7D" w:rsidR="001F1935" w:rsidRDefault="00DE5878">
            <w:pPr>
              <w:pBdr>
                <w:top w:val="nil"/>
                <w:left w:val="nil"/>
                <w:bottom w:val="nil"/>
                <w:right w:val="nil"/>
                <w:between w:val="nil"/>
              </w:pBdr>
              <w:rPr>
                <w:rFonts w:ascii="Arial" w:eastAsia="Arial" w:hAnsi="Arial" w:cs="Arial"/>
                <w:color w:val="010000"/>
                <w:sz w:val="20"/>
                <w:szCs w:val="20"/>
              </w:rPr>
            </w:pPr>
            <w:r>
              <w:rPr>
                <w:rFonts w:ascii="Arial" w:eastAsia="Arial" w:hAnsi="Arial" w:cs="Arial"/>
                <w:color w:val="010000"/>
                <w:sz w:val="20"/>
                <w:szCs w:val="20"/>
              </w:rPr>
              <w:t>Total revenue</w:t>
            </w:r>
          </w:p>
        </w:tc>
        <w:tc>
          <w:tcPr>
            <w:tcW w:w="4802" w:type="dxa"/>
            <w:shd w:val="clear" w:color="auto" w:fill="auto"/>
            <w:tcMar>
              <w:top w:w="100" w:type="dxa"/>
              <w:left w:w="100" w:type="dxa"/>
              <w:bottom w:w="100" w:type="dxa"/>
              <w:right w:w="100" w:type="dxa"/>
            </w:tcMar>
          </w:tcPr>
          <w:p w14:paraId="61793C0A" w14:textId="0E1CF5BE" w:rsidR="001F1935" w:rsidRDefault="00DE5878" w:rsidP="00284C11">
            <w:pPr>
              <w:pBdr>
                <w:top w:val="nil"/>
                <w:left w:val="nil"/>
                <w:bottom w:val="nil"/>
                <w:right w:val="nil"/>
                <w:between w:val="nil"/>
              </w:pBdr>
              <w:jc w:val="right"/>
              <w:rPr>
                <w:rFonts w:ascii="Arial" w:eastAsia="Arial" w:hAnsi="Arial" w:cs="Arial"/>
                <w:color w:val="010000"/>
                <w:sz w:val="20"/>
                <w:szCs w:val="20"/>
              </w:rPr>
            </w:pPr>
            <w:r>
              <w:rPr>
                <w:rFonts w:ascii="Arial" w:eastAsia="Arial" w:hAnsi="Arial" w:cs="Arial"/>
                <w:color w:val="010000"/>
                <w:sz w:val="20"/>
                <w:szCs w:val="20"/>
              </w:rPr>
              <w:t>485.001</w:t>
            </w:r>
          </w:p>
        </w:tc>
      </w:tr>
      <w:tr w:rsidR="001F1935" w14:paraId="3045D8F0" w14:textId="77777777" w:rsidTr="00B9394F">
        <w:tc>
          <w:tcPr>
            <w:tcW w:w="690" w:type="dxa"/>
            <w:shd w:val="clear" w:color="auto" w:fill="auto"/>
            <w:tcMar>
              <w:top w:w="100" w:type="dxa"/>
              <w:left w:w="100" w:type="dxa"/>
              <w:bottom w:w="100" w:type="dxa"/>
              <w:right w:w="100" w:type="dxa"/>
            </w:tcMar>
          </w:tcPr>
          <w:p w14:paraId="5DF90546" w14:textId="77777777" w:rsidR="001F1935" w:rsidRDefault="00DE5878" w:rsidP="00284C11">
            <w:pPr>
              <w:pBdr>
                <w:top w:val="nil"/>
                <w:left w:val="nil"/>
                <w:bottom w:val="nil"/>
                <w:right w:val="nil"/>
                <w:between w:val="nil"/>
              </w:pBdr>
              <w:jc w:val="center"/>
              <w:rPr>
                <w:rFonts w:ascii="Arial" w:eastAsia="Arial" w:hAnsi="Arial" w:cs="Arial"/>
                <w:color w:val="010000"/>
                <w:sz w:val="20"/>
                <w:szCs w:val="20"/>
              </w:rPr>
            </w:pPr>
            <w:r>
              <w:rPr>
                <w:rFonts w:ascii="Arial" w:eastAsia="Arial" w:hAnsi="Arial" w:cs="Arial"/>
                <w:color w:val="010000"/>
                <w:sz w:val="20"/>
                <w:szCs w:val="20"/>
              </w:rPr>
              <w:t>2</w:t>
            </w:r>
          </w:p>
        </w:tc>
        <w:tc>
          <w:tcPr>
            <w:tcW w:w="3675" w:type="dxa"/>
            <w:shd w:val="clear" w:color="auto" w:fill="auto"/>
            <w:tcMar>
              <w:top w:w="100" w:type="dxa"/>
              <w:left w:w="100" w:type="dxa"/>
              <w:bottom w:w="100" w:type="dxa"/>
              <w:right w:w="100" w:type="dxa"/>
            </w:tcMar>
          </w:tcPr>
          <w:p w14:paraId="354C3C6E" w14:textId="7D227977" w:rsidR="001F1935" w:rsidRDefault="00DE5878">
            <w:pPr>
              <w:pBdr>
                <w:top w:val="nil"/>
                <w:left w:val="nil"/>
                <w:bottom w:val="nil"/>
                <w:right w:val="nil"/>
                <w:between w:val="nil"/>
              </w:pBdr>
              <w:rPr>
                <w:rFonts w:ascii="Arial" w:eastAsia="Arial" w:hAnsi="Arial" w:cs="Arial"/>
                <w:color w:val="010000"/>
                <w:sz w:val="20"/>
                <w:szCs w:val="20"/>
              </w:rPr>
            </w:pPr>
            <w:r>
              <w:rPr>
                <w:rFonts w:ascii="Arial" w:eastAsia="Arial" w:hAnsi="Arial" w:cs="Arial"/>
                <w:color w:val="010000"/>
                <w:sz w:val="20"/>
                <w:szCs w:val="20"/>
              </w:rPr>
              <w:t>Total expenses</w:t>
            </w:r>
          </w:p>
        </w:tc>
        <w:tc>
          <w:tcPr>
            <w:tcW w:w="4802" w:type="dxa"/>
            <w:shd w:val="clear" w:color="auto" w:fill="auto"/>
            <w:tcMar>
              <w:top w:w="100" w:type="dxa"/>
              <w:left w:w="100" w:type="dxa"/>
              <w:bottom w:w="100" w:type="dxa"/>
              <w:right w:w="100" w:type="dxa"/>
            </w:tcMar>
          </w:tcPr>
          <w:p w14:paraId="48B704F4" w14:textId="01694C1D" w:rsidR="001F1935" w:rsidRDefault="00DE5878" w:rsidP="00284C11">
            <w:pPr>
              <w:pBdr>
                <w:top w:val="nil"/>
                <w:left w:val="nil"/>
                <w:bottom w:val="nil"/>
                <w:right w:val="nil"/>
                <w:between w:val="nil"/>
              </w:pBdr>
              <w:jc w:val="right"/>
              <w:rPr>
                <w:rFonts w:ascii="Arial" w:eastAsia="Arial" w:hAnsi="Arial" w:cs="Arial"/>
                <w:color w:val="010000"/>
                <w:sz w:val="20"/>
                <w:szCs w:val="20"/>
              </w:rPr>
            </w:pPr>
            <w:r>
              <w:rPr>
                <w:rFonts w:ascii="Arial" w:eastAsia="Arial" w:hAnsi="Arial" w:cs="Arial"/>
                <w:color w:val="010000"/>
                <w:sz w:val="20"/>
                <w:szCs w:val="20"/>
              </w:rPr>
              <w:t>480.475</w:t>
            </w:r>
          </w:p>
        </w:tc>
      </w:tr>
      <w:tr w:rsidR="001F1935" w:rsidRPr="00B9394F" w14:paraId="504443D0" w14:textId="77777777" w:rsidTr="00B9394F">
        <w:tc>
          <w:tcPr>
            <w:tcW w:w="690" w:type="dxa"/>
            <w:shd w:val="clear" w:color="auto" w:fill="auto"/>
            <w:tcMar>
              <w:top w:w="100" w:type="dxa"/>
              <w:left w:w="100" w:type="dxa"/>
              <w:bottom w:w="100" w:type="dxa"/>
              <w:right w:w="100" w:type="dxa"/>
            </w:tcMar>
          </w:tcPr>
          <w:p w14:paraId="02A02FEE" w14:textId="77777777" w:rsidR="001F1935" w:rsidRDefault="00DE5878" w:rsidP="00284C11">
            <w:pPr>
              <w:pBdr>
                <w:top w:val="nil"/>
                <w:left w:val="nil"/>
                <w:bottom w:val="nil"/>
                <w:right w:val="nil"/>
                <w:between w:val="nil"/>
              </w:pBdr>
              <w:jc w:val="center"/>
              <w:rPr>
                <w:rFonts w:ascii="Arial" w:eastAsia="Arial" w:hAnsi="Arial" w:cs="Arial"/>
                <w:color w:val="010000"/>
                <w:sz w:val="20"/>
                <w:szCs w:val="20"/>
              </w:rPr>
            </w:pPr>
            <w:r>
              <w:rPr>
                <w:rFonts w:ascii="Arial" w:eastAsia="Arial" w:hAnsi="Arial" w:cs="Arial"/>
                <w:color w:val="010000"/>
                <w:sz w:val="20"/>
                <w:szCs w:val="20"/>
              </w:rPr>
              <w:t>3</w:t>
            </w:r>
          </w:p>
        </w:tc>
        <w:tc>
          <w:tcPr>
            <w:tcW w:w="3675" w:type="dxa"/>
            <w:shd w:val="clear" w:color="auto" w:fill="auto"/>
            <w:tcMar>
              <w:top w:w="100" w:type="dxa"/>
              <w:left w:w="100" w:type="dxa"/>
              <w:bottom w:w="100" w:type="dxa"/>
              <w:right w:w="100" w:type="dxa"/>
            </w:tcMar>
          </w:tcPr>
          <w:p w14:paraId="565B6E8A" w14:textId="37353795" w:rsidR="001F1935" w:rsidRDefault="00DE5878">
            <w:pPr>
              <w:pBdr>
                <w:top w:val="nil"/>
                <w:left w:val="nil"/>
                <w:bottom w:val="nil"/>
                <w:right w:val="nil"/>
                <w:between w:val="nil"/>
              </w:pBdr>
              <w:rPr>
                <w:rFonts w:ascii="Arial" w:eastAsia="Arial" w:hAnsi="Arial" w:cs="Arial"/>
                <w:color w:val="010000"/>
                <w:sz w:val="20"/>
                <w:szCs w:val="20"/>
              </w:rPr>
            </w:pPr>
            <w:r>
              <w:rPr>
                <w:rFonts w:ascii="Arial" w:eastAsia="Arial" w:hAnsi="Arial" w:cs="Arial"/>
                <w:color w:val="010000"/>
                <w:sz w:val="20"/>
                <w:szCs w:val="20"/>
              </w:rPr>
              <w:t>Profit after tax</w:t>
            </w:r>
          </w:p>
        </w:tc>
        <w:tc>
          <w:tcPr>
            <w:tcW w:w="4802" w:type="dxa"/>
            <w:shd w:val="clear" w:color="auto" w:fill="auto"/>
            <w:tcMar>
              <w:top w:w="100" w:type="dxa"/>
              <w:left w:w="100" w:type="dxa"/>
              <w:bottom w:w="100" w:type="dxa"/>
              <w:right w:w="100" w:type="dxa"/>
            </w:tcMar>
          </w:tcPr>
          <w:p w14:paraId="0CAC7D01" w14:textId="45D44562" w:rsidR="001F1935" w:rsidRPr="00B9394F" w:rsidRDefault="00B9394F" w:rsidP="00284C11">
            <w:pPr>
              <w:pBdr>
                <w:top w:val="nil"/>
                <w:left w:val="nil"/>
                <w:bottom w:val="nil"/>
                <w:right w:val="nil"/>
                <w:between w:val="nil"/>
              </w:pBdr>
              <w:jc w:val="right"/>
              <w:rPr>
                <w:rFonts w:ascii="Arial" w:eastAsia="Arial" w:hAnsi="Arial" w:cs="Arial"/>
                <w:color w:val="010000"/>
                <w:sz w:val="20"/>
                <w:szCs w:val="20"/>
              </w:rPr>
            </w:pPr>
            <w:r w:rsidRPr="00B9394F">
              <w:rPr>
                <w:rFonts w:ascii="Arial" w:eastAsia="Arial" w:hAnsi="Arial" w:cs="Arial"/>
                <w:color w:val="010000"/>
                <w:sz w:val="20"/>
                <w:szCs w:val="20"/>
              </w:rPr>
              <w:t>4.</w:t>
            </w:r>
            <w:r w:rsidR="00DE5878" w:rsidRPr="00B9394F">
              <w:rPr>
                <w:rFonts w:ascii="Arial" w:eastAsia="Arial" w:hAnsi="Arial" w:cs="Arial"/>
                <w:color w:val="010000"/>
                <w:sz w:val="20"/>
                <w:szCs w:val="20"/>
              </w:rPr>
              <w:t>316</w:t>
            </w:r>
          </w:p>
        </w:tc>
      </w:tr>
    </w:tbl>
    <w:p w14:paraId="65EA6218"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on the activities of the Board of Directors in 2023 and the operational orientation in 2024;</w:t>
      </w:r>
    </w:p>
    <w:p w14:paraId="6BC22342"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the activities of the Supervisory Board in 2023 and the direction of activities in 2024.</w:t>
      </w:r>
    </w:p>
    <w:p w14:paraId="11CF9470"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Proposal on selecting an audit company for the Financial Statements 2024;</w:t>
      </w:r>
    </w:p>
    <w:p w14:paraId="637E5118"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Authorize the Supervisory Board to select an appropriate audit company in accordance with the provisions of the law to audit the company's Financial Statements 2024 and assign the General Manager to sign the audit contract.</w:t>
      </w:r>
      <w:bookmarkStart w:id="0" w:name="_GoBack"/>
      <w:bookmarkEnd w:id="0"/>
    </w:p>
    <w:p w14:paraId="7FF9FFB3"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on the remuneration report of the Board of Directors and the Supervisory Board in 2023 and the estimated remuneration level for 2024.</w:t>
      </w:r>
    </w:p>
    <w:p w14:paraId="34D36B24" w14:textId="77777777" w:rsidR="001F1935" w:rsidRDefault="00DE5878" w:rsidP="00075069">
      <w:pPr>
        <w:numPr>
          <w:ilvl w:val="0"/>
          <w:numId w:val="4"/>
        </w:numPr>
        <w:pBdr>
          <w:top w:val="nil"/>
          <w:left w:val="nil"/>
          <w:bottom w:val="nil"/>
          <w:right w:val="nil"/>
          <w:between w:val="nil"/>
        </w:pBdr>
        <w:tabs>
          <w:tab w:val="left" w:pos="432"/>
          <w:tab w:val="left" w:pos="589"/>
        </w:tabs>
        <w:spacing w:after="120" w:line="360" w:lineRule="auto"/>
        <w:jc w:val="both"/>
        <w:rPr>
          <w:rFonts w:ascii="Arial" w:eastAsia="Arial" w:hAnsi="Arial" w:cs="Arial"/>
          <w:color w:val="010000"/>
          <w:sz w:val="20"/>
          <w:szCs w:val="20"/>
        </w:rPr>
      </w:pPr>
      <w:r>
        <w:rPr>
          <w:rFonts w:ascii="Arial" w:hAnsi="Arial"/>
          <w:color w:val="010000"/>
          <w:sz w:val="20"/>
        </w:rPr>
        <w:t>The total amount of remuneration paid to the Board of Directors and the Supervisory Board in 2023 is: VND 372,000,000, in which:</w:t>
      </w:r>
    </w:p>
    <w:p w14:paraId="2DC21A52" w14:textId="77777777" w:rsidR="001F1935" w:rsidRDefault="00DE5878" w:rsidP="00075069">
      <w:pPr>
        <w:numPr>
          <w:ilvl w:val="0"/>
          <w:numId w:val="3"/>
        </w:numPr>
        <w:pBdr>
          <w:top w:val="nil"/>
          <w:left w:val="nil"/>
          <w:bottom w:val="nil"/>
          <w:right w:val="nil"/>
          <w:between w:val="nil"/>
        </w:pBdr>
        <w:tabs>
          <w:tab w:val="left" w:pos="432"/>
          <w:tab w:val="left" w:pos="986"/>
          <w:tab w:val="left" w:pos="3585"/>
        </w:tabs>
        <w:spacing w:after="120" w:line="360" w:lineRule="auto"/>
        <w:jc w:val="both"/>
        <w:rPr>
          <w:rFonts w:ascii="Arial" w:eastAsia="Arial" w:hAnsi="Arial" w:cs="Arial"/>
          <w:color w:val="010000"/>
          <w:sz w:val="20"/>
          <w:szCs w:val="20"/>
        </w:rPr>
      </w:pPr>
      <w:r>
        <w:rPr>
          <w:rFonts w:ascii="Arial" w:hAnsi="Arial"/>
          <w:color w:val="010000"/>
          <w:sz w:val="20"/>
        </w:rPr>
        <w:t>The Board of Directors: VND 252,000,000</w:t>
      </w:r>
    </w:p>
    <w:p w14:paraId="0A789841" w14:textId="77777777" w:rsidR="001F1935" w:rsidRDefault="00DE5878" w:rsidP="00075069">
      <w:pPr>
        <w:numPr>
          <w:ilvl w:val="0"/>
          <w:numId w:val="3"/>
        </w:numPr>
        <w:pBdr>
          <w:top w:val="nil"/>
          <w:left w:val="nil"/>
          <w:bottom w:val="nil"/>
          <w:right w:val="nil"/>
          <w:between w:val="nil"/>
        </w:pBdr>
        <w:tabs>
          <w:tab w:val="left" w:pos="432"/>
          <w:tab w:val="left" w:pos="986"/>
          <w:tab w:val="left" w:pos="3585"/>
        </w:tabs>
        <w:spacing w:after="120" w:line="360" w:lineRule="auto"/>
        <w:jc w:val="both"/>
        <w:rPr>
          <w:rFonts w:ascii="Arial" w:eastAsia="Arial" w:hAnsi="Arial" w:cs="Arial"/>
          <w:color w:val="010000"/>
          <w:sz w:val="20"/>
          <w:szCs w:val="20"/>
        </w:rPr>
      </w:pPr>
      <w:r>
        <w:rPr>
          <w:rFonts w:ascii="Arial" w:hAnsi="Arial"/>
          <w:color w:val="010000"/>
          <w:sz w:val="20"/>
        </w:rPr>
        <w:t>The Supervisory Board: VND 120,000,000</w:t>
      </w:r>
    </w:p>
    <w:p w14:paraId="4F75AEA2" w14:textId="77777777" w:rsidR="001F1935" w:rsidRDefault="00DE5878" w:rsidP="00075069">
      <w:pPr>
        <w:numPr>
          <w:ilvl w:val="0"/>
          <w:numId w:val="4"/>
        </w:numPr>
        <w:pBdr>
          <w:top w:val="nil"/>
          <w:left w:val="nil"/>
          <w:bottom w:val="nil"/>
          <w:right w:val="nil"/>
          <w:between w:val="nil"/>
        </w:pBdr>
        <w:tabs>
          <w:tab w:val="left" w:pos="432"/>
          <w:tab w:val="left" w:pos="589"/>
        </w:tabs>
        <w:spacing w:after="120" w:line="360" w:lineRule="auto"/>
        <w:jc w:val="both"/>
        <w:rPr>
          <w:rFonts w:ascii="Arial" w:eastAsia="Arial" w:hAnsi="Arial" w:cs="Arial"/>
          <w:color w:val="010000"/>
          <w:sz w:val="20"/>
          <w:szCs w:val="20"/>
        </w:rPr>
      </w:pPr>
      <w:r>
        <w:rPr>
          <w:rFonts w:ascii="Arial" w:hAnsi="Arial"/>
          <w:color w:val="010000"/>
          <w:sz w:val="20"/>
        </w:rPr>
        <w:t>The Board of Directors submits to the General Meeting of Shareholders the remuneration level of the Board of Directors and the Supervisory Board in 2023, which remains the same as in 2022, specifically:</w:t>
      </w:r>
    </w:p>
    <w:p w14:paraId="70B95F74" w14:textId="77777777" w:rsidR="001F1935" w:rsidRDefault="00DE5878" w:rsidP="00075069">
      <w:pPr>
        <w:numPr>
          <w:ilvl w:val="0"/>
          <w:numId w:val="3"/>
        </w:num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Pr>
          <w:rFonts w:ascii="Arial" w:hAnsi="Arial"/>
          <w:color w:val="010000"/>
          <w:sz w:val="20"/>
        </w:rPr>
        <w:lastRenderedPageBreak/>
        <w:t>Remuneration of Board of Directors:</w:t>
      </w:r>
    </w:p>
    <w:p w14:paraId="128FE6D8" w14:textId="77777777" w:rsidR="001F1935" w:rsidRDefault="00DE5878" w:rsidP="00075069">
      <w:pPr>
        <w:numPr>
          <w:ilvl w:val="0"/>
          <w:numId w:val="5"/>
        </w:numPr>
        <w:pBdr>
          <w:top w:val="nil"/>
          <w:left w:val="nil"/>
          <w:bottom w:val="nil"/>
          <w:right w:val="nil"/>
          <w:between w:val="nil"/>
        </w:pBdr>
        <w:tabs>
          <w:tab w:val="left" w:pos="432"/>
          <w:tab w:val="left" w:pos="3585"/>
        </w:tabs>
        <w:spacing w:after="120" w:line="360" w:lineRule="auto"/>
        <w:ind w:left="0" w:firstLine="0"/>
        <w:jc w:val="both"/>
        <w:rPr>
          <w:rFonts w:ascii="Arial" w:eastAsia="Arial" w:hAnsi="Arial" w:cs="Arial"/>
          <w:color w:val="010000"/>
          <w:sz w:val="20"/>
          <w:szCs w:val="20"/>
        </w:rPr>
      </w:pPr>
      <w:r>
        <w:rPr>
          <w:rFonts w:ascii="Arial" w:hAnsi="Arial"/>
          <w:color w:val="010000"/>
          <w:sz w:val="20"/>
        </w:rPr>
        <w:t>Chair of the Board of Directors: VND 8,000,000/month</w:t>
      </w:r>
    </w:p>
    <w:p w14:paraId="3597B021" w14:textId="77777777" w:rsidR="001F1935" w:rsidRDefault="00DE5878" w:rsidP="00075069">
      <w:pPr>
        <w:numPr>
          <w:ilvl w:val="0"/>
          <w:numId w:val="2"/>
        </w:numPr>
        <w:pBdr>
          <w:top w:val="nil"/>
          <w:left w:val="nil"/>
          <w:bottom w:val="nil"/>
          <w:right w:val="nil"/>
          <w:between w:val="nil"/>
        </w:pBdr>
        <w:tabs>
          <w:tab w:val="left" w:pos="432"/>
          <w:tab w:val="left" w:pos="3585"/>
        </w:tabs>
        <w:spacing w:line="360" w:lineRule="auto"/>
        <w:ind w:left="0" w:hanging="15"/>
        <w:jc w:val="both"/>
        <w:rPr>
          <w:rFonts w:ascii="Arial" w:eastAsia="Arial" w:hAnsi="Arial" w:cs="Arial"/>
          <w:color w:val="010000"/>
          <w:sz w:val="20"/>
          <w:szCs w:val="20"/>
        </w:rPr>
      </w:pPr>
      <w:r>
        <w:rPr>
          <w:rFonts w:ascii="Arial" w:hAnsi="Arial"/>
          <w:color w:val="010000"/>
          <w:sz w:val="20"/>
        </w:rPr>
        <w:t xml:space="preserve"> Members of the Board of Directors: VND 6,000,000/person/month;</w:t>
      </w:r>
    </w:p>
    <w:p w14:paraId="174CBCA8" w14:textId="77777777" w:rsidR="001F1935" w:rsidRDefault="00DE5878" w:rsidP="00075069">
      <w:pPr>
        <w:numPr>
          <w:ilvl w:val="0"/>
          <w:numId w:val="3"/>
        </w:num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Pr>
          <w:rFonts w:ascii="Arial" w:hAnsi="Arial"/>
          <w:color w:val="010000"/>
          <w:sz w:val="20"/>
        </w:rPr>
        <w:t>Remuneration of the Supervisory Board</w:t>
      </w:r>
    </w:p>
    <w:p w14:paraId="75EE2443" w14:textId="77777777" w:rsidR="001F1935" w:rsidRDefault="00DE5878" w:rsidP="00075069">
      <w:pPr>
        <w:numPr>
          <w:ilvl w:val="0"/>
          <w:numId w:val="1"/>
        </w:numPr>
        <w:pBdr>
          <w:top w:val="nil"/>
          <w:left w:val="nil"/>
          <w:bottom w:val="nil"/>
          <w:right w:val="nil"/>
          <w:between w:val="nil"/>
        </w:pBdr>
        <w:tabs>
          <w:tab w:val="left" w:pos="432"/>
          <w:tab w:val="left" w:pos="3585"/>
        </w:tabs>
        <w:spacing w:after="120" w:line="360" w:lineRule="auto"/>
        <w:ind w:left="0" w:firstLine="0"/>
        <w:jc w:val="both"/>
        <w:rPr>
          <w:rFonts w:ascii="Arial" w:eastAsia="Arial" w:hAnsi="Arial" w:cs="Arial"/>
          <w:color w:val="010000"/>
          <w:sz w:val="20"/>
          <w:szCs w:val="20"/>
        </w:rPr>
      </w:pPr>
      <w:r>
        <w:rPr>
          <w:rFonts w:ascii="Arial" w:hAnsi="Arial"/>
          <w:color w:val="010000"/>
          <w:sz w:val="20"/>
        </w:rPr>
        <w:t>Chief of the Supervisory Board: VND 5,000,000/month</w:t>
      </w:r>
    </w:p>
    <w:p w14:paraId="4BF21720" w14:textId="77777777" w:rsidR="001F1935" w:rsidRDefault="00DE5878" w:rsidP="0007506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Member of the Supervisory Board: VND 3,000,000/person/month;</w:t>
      </w:r>
    </w:p>
    <w:p w14:paraId="216DF8F9"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Proposal to approve the resignation letter of Ms. Nguyen Thi Thu Hoai as a member of the Board of Directors.</w:t>
      </w:r>
    </w:p>
    <w:p w14:paraId="12F533D7" w14:textId="77777777" w:rsidR="001F1935" w:rsidRDefault="00DE5878" w:rsidP="00075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This General Mandate consists of 02 pages and takes effect from the date of signing. The Board of Directors, the Supervisory Board, and the Executive Board of the Company are responsible for implementing this General Mandate.</w:t>
      </w:r>
    </w:p>
    <w:sectPr w:rsidR="001F193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6A2"/>
    <w:multiLevelType w:val="multilevel"/>
    <w:tmpl w:val="F1A290CA"/>
    <w:lvl w:ilvl="0">
      <w:start w:val="1"/>
      <w:numFmt w:val="bullet"/>
      <w:lvlText w:val="-"/>
      <w:lvlJc w:val="left"/>
      <w:pPr>
        <w:ind w:left="0" w:firstLine="0"/>
      </w:pPr>
      <w:rPr>
        <w:rFonts w:ascii="Arial" w:eastAsia="Arial" w:hAnsi="Arial" w:cs="Arial"/>
        <w:b w:val="0"/>
        <w:i w:val="0"/>
        <w:smallCaps w:val="0"/>
        <w:strike w:val="0"/>
        <w:color w:val="2720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DB60BE"/>
    <w:multiLevelType w:val="multilevel"/>
    <w:tmpl w:val="567ADF18"/>
    <w:lvl w:ilvl="0">
      <w:start w:val="1"/>
      <w:numFmt w:val="decimal"/>
      <w:lvlText w:val="4.%1."/>
      <w:lvlJc w:val="left"/>
      <w:pPr>
        <w:ind w:left="0" w:firstLine="0"/>
      </w:pPr>
      <w:rPr>
        <w:rFonts w:ascii="Arial" w:eastAsia="Arial" w:hAnsi="Arial" w:cs="Arial"/>
        <w:b w:val="0"/>
        <w:i w:val="0"/>
        <w:smallCaps w:val="0"/>
        <w:strike w:val="0"/>
        <w:color w:val="2720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D61B27"/>
    <w:multiLevelType w:val="multilevel"/>
    <w:tmpl w:val="E02EF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C6184E"/>
    <w:multiLevelType w:val="multilevel"/>
    <w:tmpl w:val="5A0E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FD52A7"/>
    <w:multiLevelType w:val="multilevel"/>
    <w:tmpl w:val="4600D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35"/>
    <w:rsid w:val="00075069"/>
    <w:rsid w:val="001F1935"/>
    <w:rsid w:val="00284C11"/>
    <w:rsid w:val="00B9394F"/>
    <w:rsid w:val="00DE5878"/>
    <w:rsid w:val="00FF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84"/>
      <w:szCs w:val="84"/>
      <w:u w:val="none"/>
      <w:shd w:val="clear" w:color="auto" w:fill="auto"/>
    </w:rPr>
  </w:style>
  <w:style w:type="paragraph" w:customStyle="1" w:styleId="Bodytext20">
    <w:name w:val="Body text (2)"/>
    <w:basedOn w:val="Normal"/>
    <w:link w:val="Bodytext2"/>
    <w:rPr>
      <w:rFonts w:ascii="Arial" w:eastAsia="Arial" w:hAnsi="Arial" w:cs="Arial"/>
      <w:sz w:val="19"/>
      <w:szCs w:val="19"/>
    </w:rPr>
  </w:style>
  <w:style w:type="paragraph" w:customStyle="1" w:styleId="Bodytext30">
    <w:name w:val="Body text (3)"/>
    <w:basedOn w:val="Normal"/>
    <w:link w:val="Bodytext3"/>
    <w:rPr>
      <w:rFonts w:ascii="Times New Roman" w:eastAsia="Times New Roman" w:hAnsi="Times New Roman" w:cs="Times New Roman"/>
      <w:b/>
      <w:bCs/>
      <w:sz w:val="32"/>
      <w:szCs w:val="32"/>
    </w:rPr>
  </w:style>
  <w:style w:type="paragraph" w:styleId="BodyText">
    <w:name w:val="Body Text"/>
    <w:basedOn w:val="Normal"/>
    <w:link w:val="BodyTextChar"/>
    <w:qFormat/>
    <w:pPr>
      <w:spacing w:line="310" w:lineRule="auto"/>
      <w:ind w:firstLine="40"/>
    </w:pPr>
    <w:rPr>
      <w:rFonts w:ascii="Times New Roman" w:eastAsia="Times New Roman" w:hAnsi="Times New Roman" w:cs="Times New Roman"/>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2"/>
      <w:szCs w:val="32"/>
    </w:rPr>
  </w:style>
  <w:style w:type="paragraph" w:customStyle="1" w:styleId="Heading11">
    <w:name w:val="Heading #1"/>
    <w:basedOn w:val="Normal"/>
    <w:link w:val="Heading10"/>
    <w:pPr>
      <w:outlineLvl w:val="0"/>
    </w:pPr>
    <w:rPr>
      <w:rFonts w:ascii="Arial" w:eastAsia="Arial" w:hAnsi="Arial" w:cs="Arial"/>
      <w:sz w:val="84"/>
      <w:szCs w:val="8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84"/>
      <w:szCs w:val="84"/>
      <w:u w:val="none"/>
      <w:shd w:val="clear" w:color="auto" w:fill="auto"/>
    </w:rPr>
  </w:style>
  <w:style w:type="paragraph" w:customStyle="1" w:styleId="Bodytext20">
    <w:name w:val="Body text (2)"/>
    <w:basedOn w:val="Normal"/>
    <w:link w:val="Bodytext2"/>
    <w:rPr>
      <w:rFonts w:ascii="Arial" w:eastAsia="Arial" w:hAnsi="Arial" w:cs="Arial"/>
      <w:sz w:val="19"/>
      <w:szCs w:val="19"/>
    </w:rPr>
  </w:style>
  <w:style w:type="paragraph" w:customStyle="1" w:styleId="Bodytext30">
    <w:name w:val="Body text (3)"/>
    <w:basedOn w:val="Normal"/>
    <w:link w:val="Bodytext3"/>
    <w:rPr>
      <w:rFonts w:ascii="Times New Roman" w:eastAsia="Times New Roman" w:hAnsi="Times New Roman" w:cs="Times New Roman"/>
      <w:b/>
      <w:bCs/>
      <w:sz w:val="32"/>
      <w:szCs w:val="32"/>
    </w:rPr>
  </w:style>
  <w:style w:type="paragraph" w:styleId="BodyText">
    <w:name w:val="Body Text"/>
    <w:basedOn w:val="Normal"/>
    <w:link w:val="BodyTextChar"/>
    <w:qFormat/>
    <w:pPr>
      <w:spacing w:line="310" w:lineRule="auto"/>
      <w:ind w:firstLine="40"/>
    </w:pPr>
    <w:rPr>
      <w:rFonts w:ascii="Times New Roman" w:eastAsia="Times New Roman" w:hAnsi="Times New Roman" w:cs="Times New Roman"/>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2"/>
      <w:szCs w:val="32"/>
    </w:rPr>
  </w:style>
  <w:style w:type="paragraph" w:customStyle="1" w:styleId="Heading11">
    <w:name w:val="Heading #1"/>
    <w:basedOn w:val="Normal"/>
    <w:link w:val="Heading10"/>
    <w:pPr>
      <w:outlineLvl w:val="0"/>
    </w:pPr>
    <w:rPr>
      <w:rFonts w:ascii="Arial" w:eastAsia="Arial" w:hAnsi="Arial" w:cs="Arial"/>
      <w:sz w:val="84"/>
      <w:szCs w:val="8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Rhf8h9k15Ekvk8+Wg1OyyTbOyA==">CgMxLjAaHwoBMBIaChgICVIUChJ0YWJsZS5oZTI4aTBnMHFsdGsyCGguZ2pkZ3hzOAByITFUalRSa2loOWRWajVZR1Z1eE1IQ016UWxBX3V0aDdlMQ==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2024-05-03T04:02:00Z</dcterms:created>
  <dcterms:modified xsi:type="dcterms:W3CDTF">2024-05-04T06:45:00Z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1c993f25095836b37d68c9b9f3af981267d7914be2313845df4137bf6ec5d486</vt:lpwstr>
  </property>
</Properties>
</file>