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F0B11" w14:textId="77777777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6202B">
        <w:rPr>
          <w:rFonts w:ascii="Arial" w:hAnsi="Arial" w:cs="Arial"/>
          <w:b/>
          <w:color w:val="010000"/>
          <w:sz w:val="20"/>
        </w:rPr>
        <w:t>TPH: Annual General Mandate 2024</w:t>
      </w:r>
    </w:p>
    <w:p w14:paraId="16387534" w14:textId="77777777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 xml:space="preserve">On April 20, 2024, Hanoi Textbooks Printing JSC announced General Mandate No. 01/NQ-DHDCD/HAPCO as follows: </w:t>
      </w:r>
    </w:p>
    <w:p w14:paraId="0EF50032" w14:textId="025B0C15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‎‎Article 1. Approve the Report on summar</w:t>
      </w:r>
      <w:r w:rsidR="00A506C6">
        <w:rPr>
          <w:rFonts w:ascii="Arial" w:hAnsi="Arial" w:cs="Arial"/>
          <w:color w:val="010000"/>
          <w:sz w:val="20"/>
        </w:rPr>
        <w:t>izing the term 2019-2024 and</w:t>
      </w:r>
      <w:r w:rsidRPr="00F6202B">
        <w:rPr>
          <w:rFonts w:ascii="Arial" w:hAnsi="Arial" w:cs="Arial"/>
          <w:color w:val="010000"/>
          <w:sz w:val="20"/>
        </w:rPr>
        <w:t xml:space="preserve"> operating orientation for the term 2024-2029 of the Board of Directors.</w:t>
      </w:r>
    </w:p>
    <w:p w14:paraId="68152965" w14:textId="5DD9B708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 xml:space="preserve">‎‎Article 2. Approved the Report on the production and </w:t>
      </w:r>
      <w:r w:rsidR="00A506C6">
        <w:rPr>
          <w:rFonts w:ascii="Arial" w:hAnsi="Arial" w:cs="Arial"/>
          <w:color w:val="010000"/>
          <w:sz w:val="20"/>
        </w:rPr>
        <w:t>business results in 2023 and</w:t>
      </w:r>
      <w:r w:rsidRPr="00F6202B">
        <w:rPr>
          <w:rFonts w:ascii="Arial" w:hAnsi="Arial" w:cs="Arial"/>
          <w:color w:val="010000"/>
          <w:sz w:val="20"/>
        </w:rPr>
        <w:t xml:space="preserve"> production and business plan 2024 of the Board of Managers. </w:t>
      </w:r>
    </w:p>
    <w:p w14:paraId="0EE2007B" w14:textId="77777777" w:rsidR="00553570" w:rsidRPr="00F6202B" w:rsidRDefault="00F8696E" w:rsidP="00A506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Production and business results in 2023</w:t>
      </w:r>
    </w:p>
    <w:p w14:paraId="0F391AAB" w14:textId="77777777" w:rsidR="00553570" w:rsidRPr="00F6202B" w:rsidRDefault="00F8696E" w:rsidP="00F6202B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Production and Business Results: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23"/>
        <w:gridCol w:w="1334"/>
        <w:gridCol w:w="1197"/>
        <w:gridCol w:w="1205"/>
        <w:gridCol w:w="1143"/>
        <w:gridCol w:w="1214"/>
      </w:tblGrid>
      <w:tr w:rsidR="00553570" w:rsidRPr="00F6202B" w14:paraId="08C3146E" w14:textId="77777777" w:rsidTr="00F6202B">
        <w:tc>
          <w:tcPr>
            <w:tcW w:w="16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C0DD80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FE4700" w14:textId="7A64FB9F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Results 2022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839046" w14:textId="58B14F0D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Plan 2023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428E51" w14:textId="0B74F033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Results 2023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5A9ECD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Results/Plan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8B1576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Compared to the same period</w:t>
            </w:r>
          </w:p>
        </w:tc>
      </w:tr>
      <w:tr w:rsidR="00553570" w:rsidRPr="00F6202B" w14:paraId="5DF35DD5" w14:textId="77777777" w:rsidTr="00F6202B">
        <w:tc>
          <w:tcPr>
            <w:tcW w:w="16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F37B28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 Revenue from service provision (Million VND)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C8740B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35,637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187A8D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34,000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2241AB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42,426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3E442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125%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C8FF3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119%</w:t>
            </w:r>
          </w:p>
        </w:tc>
      </w:tr>
      <w:tr w:rsidR="00553570" w:rsidRPr="00F6202B" w14:paraId="6B0DD992" w14:textId="77777777" w:rsidTr="00F6202B">
        <w:tc>
          <w:tcPr>
            <w:tcW w:w="16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639C9A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 Profit before tax (Billion VND)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7BB32F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2,115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95F9DA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2,200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9EE9B3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2,125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785923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95%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0056C7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100%</w:t>
            </w:r>
          </w:p>
        </w:tc>
      </w:tr>
      <w:tr w:rsidR="00553570" w:rsidRPr="00F6202B" w14:paraId="6C32DB2B" w14:textId="77777777" w:rsidTr="00F6202B">
        <w:tc>
          <w:tcPr>
            <w:tcW w:w="162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60A89C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 Dividend (%)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3111CF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85015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6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909FCC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7 (expected)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4F3C5B" w14:textId="77777777" w:rsidR="00553570" w:rsidRPr="00F6202B" w:rsidRDefault="00553570" w:rsidP="00F6202B">
            <w:pP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CB7ACC" w14:textId="77777777" w:rsidR="00553570" w:rsidRPr="00F6202B" w:rsidRDefault="00553570" w:rsidP="00F6202B">
            <w:pP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760EF296" w14:textId="77777777" w:rsidR="00553570" w:rsidRPr="00F6202B" w:rsidRDefault="00F8696E" w:rsidP="00F6202B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Printed pages made in 2023: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6"/>
        <w:gridCol w:w="2160"/>
        <w:gridCol w:w="2139"/>
        <w:gridCol w:w="2153"/>
        <w:gridCol w:w="1758"/>
      </w:tblGrid>
      <w:tr w:rsidR="00553570" w:rsidRPr="00F6202B" w14:paraId="6B3509C7" w14:textId="77777777" w:rsidTr="00F6202B">
        <w:tc>
          <w:tcPr>
            <w:tcW w:w="4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7D48F9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654242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11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ABDAF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Plan 2023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FBC1F1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Results in 2023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4C2BB2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Rate (%)</w:t>
            </w:r>
          </w:p>
        </w:tc>
      </w:tr>
      <w:tr w:rsidR="00553570" w:rsidRPr="00F6202B" w14:paraId="39D018F9" w14:textId="77777777" w:rsidTr="00F6202B">
        <w:tc>
          <w:tcPr>
            <w:tcW w:w="4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C50762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B9309D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Educational books</w:t>
            </w:r>
          </w:p>
        </w:tc>
        <w:tc>
          <w:tcPr>
            <w:tcW w:w="11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8AD42C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1,323,612,000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FA6D5A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1,548,273,566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421FF0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117%</w:t>
            </w:r>
          </w:p>
        </w:tc>
      </w:tr>
      <w:tr w:rsidR="00553570" w:rsidRPr="00F6202B" w14:paraId="1BB38767" w14:textId="77777777" w:rsidTr="00F6202B">
        <w:tc>
          <w:tcPr>
            <w:tcW w:w="4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5AD9AD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5DBE27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Other books</w:t>
            </w:r>
          </w:p>
        </w:tc>
        <w:tc>
          <w:tcPr>
            <w:tcW w:w="11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54C532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302,567,505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1DDFA2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320,000,000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194D3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106%</w:t>
            </w:r>
          </w:p>
        </w:tc>
      </w:tr>
      <w:tr w:rsidR="00553570" w:rsidRPr="00F6202B" w14:paraId="0084B17C" w14:textId="77777777" w:rsidTr="00F6202B">
        <w:tc>
          <w:tcPr>
            <w:tcW w:w="4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5E4725" w14:textId="77777777" w:rsidR="00553570" w:rsidRPr="00F6202B" w:rsidRDefault="00553570" w:rsidP="00F6202B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DC3048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1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350BD5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1,626,479,505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139D67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1,868,273,566</w:t>
            </w:r>
          </w:p>
        </w:tc>
        <w:tc>
          <w:tcPr>
            <w:tcW w:w="9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8A6D01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115%</w:t>
            </w:r>
          </w:p>
        </w:tc>
      </w:tr>
    </w:tbl>
    <w:p w14:paraId="7D9987A8" w14:textId="77777777" w:rsidR="00553570" w:rsidRPr="00F6202B" w:rsidRDefault="00F8696E" w:rsidP="00F62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Production and business plan 2024</w:t>
      </w:r>
    </w:p>
    <w:p w14:paraId="05F63F48" w14:textId="77777777" w:rsidR="00553570" w:rsidRPr="00F6202B" w:rsidRDefault="00F8696E" w:rsidP="00F6202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Plan on printed page</w:t>
      </w:r>
    </w:p>
    <w:p w14:paraId="52E666ED" w14:textId="77777777" w:rsidR="00553570" w:rsidRPr="00F6202B" w:rsidRDefault="00F8696E" w:rsidP="00F6202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right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Unit: TP print page size 17x24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0"/>
        <w:gridCol w:w="4494"/>
        <w:gridCol w:w="3832"/>
      </w:tblGrid>
      <w:tr w:rsidR="00553570" w:rsidRPr="00F6202B" w14:paraId="4153EBE6" w14:textId="77777777" w:rsidTr="00F6202B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076DA8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4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06C4E2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21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BBFFDF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 xml:space="preserve">Plan 2024 </w:t>
            </w:r>
          </w:p>
        </w:tc>
      </w:tr>
      <w:tr w:rsidR="00553570" w:rsidRPr="00F6202B" w14:paraId="764ABB99" w14:textId="77777777" w:rsidTr="00F6202B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8DA0E2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4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61DF23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Textbooks</w:t>
            </w:r>
          </w:p>
        </w:tc>
        <w:tc>
          <w:tcPr>
            <w:tcW w:w="21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B9FDCF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890,000,000</w:t>
            </w:r>
          </w:p>
        </w:tc>
      </w:tr>
      <w:tr w:rsidR="00553570" w:rsidRPr="00F6202B" w14:paraId="73D1FD9B" w14:textId="77777777" w:rsidTr="00F6202B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0BCEC6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4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0854E0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Supplementary books</w:t>
            </w:r>
          </w:p>
        </w:tc>
        <w:tc>
          <w:tcPr>
            <w:tcW w:w="21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ACF223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650,000,000</w:t>
            </w:r>
          </w:p>
        </w:tc>
      </w:tr>
      <w:tr w:rsidR="00553570" w:rsidRPr="00F6202B" w14:paraId="61180046" w14:textId="77777777" w:rsidTr="00F6202B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FB1BCB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4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661796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Other books</w:t>
            </w:r>
          </w:p>
        </w:tc>
        <w:tc>
          <w:tcPr>
            <w:tcW w:w="21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A38AFE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330,000,000</w:t>
            </w:r>
          </w:p>
        </w:tc>
      </w:tr>
      <w:tr w:rsidR="00553570" w:rsidRPr="00F6202B" w14:paraId="44B3D0F1" w14:textId="77777777" w:rsidTr="00F6202B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CF5AA3" w14:textId="77777777" w:rsidR="00553570" w:rsidRPr="00F6202B" w:rsidRDefault="00553570" w:rsidP="00F6202B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4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D51DEB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212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E9A03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1,870,000,000</w:t>
            </w:r>
          </w:p>
        </w:tc>
      </w:tr>
    </w:tbl>
    <w:p w14:paraId="41639687" w14:textId="77777777" w:rsidR="00553570" w:rsidRPr="00F6202B" w:rsidRDefault="00F8696E" w:rsidP="00F620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Financial plan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1"/>
        <w:gridCol w:w="4477"/>
        <w:gridCol w:w="3848"/>
      </w:tblGrid>
      <w:tr w:rsidR="00553570" w:rsidRPr="00F6202B" w14:paraId="477903E0" w14:textId="77777777" w:rsidTr="00F6202B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927EE1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4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1A3C4E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2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884983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</w:tr>
      <w:tr w:rsidR="00553570" w:rsidRPr="00F6202B" w14:paraId="6EF09D79" w14:textId="77777777" w:rsidTr="00F6202B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9687B0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lastRenderedPageBreak/>
              <w:t>1</w:t>
            </w:r>
          </w:p>
        </w:tc>
        <w:tc>
          <w:tcPr>
            <w:tcW w:w="24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E02037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2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409713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VND 39.3 billion</w:t>
            </w:r>
          </w:p>
        </w:tc>
      </w:tr>
      <w:tr w:rsidR="00553570" w:rsidRPr="00F6202B" w14:paraId="52702474" w14:textId="77777777" w:rsidTr="00F6202B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D6288A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4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DDFA17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2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D03AE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VND 2.3 billion</w:t>
            </w:r>
          </w:p>
        </w:tc>
      </w:tr>
      <w:tr w:rsidR="00553570" w:rsidRPr="00F6202B" w14:paraId="7D706932" w14:textId="77777777" w:rsidTr="00F6202B">
        <w:tc>
          <w:tcPr>
            <w:tcW w:w="3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335800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4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C3B40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Dividend (expected)</w:t>
            </w:r>
          </w:p>
        </w:tc>
        <w:tc>
          <w:tcPr>
            <w:tcW w:w="2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DDEA40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8%</w:t>
            </w:r>
          </w:p>
        </w:tc>
      </w:tr>
    </w:tbl>
    <w:p w14:paraId="5C809C19" w14:textId="77777777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‎‎Article 3. Approve the Report on supervision results in 2023 and the term 2019-2024 of the Supervisory Board</w:t>
      </w:r>
    </w:p>
    <w:p w14:paraId="4CF14B84" w14:textId="77777777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‎‎Article 4. Approve the Financial Statements 2023 audited by AASC Auditing Firm Company Limited;</w:t>
      </w:r>
    </w:p>
    <w:p w14:paraId="5FEAD806" w14:textId="77777777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‎‎Article 5. Approve the plan on profit distribution and dividend payment in 2023.</w:t>
      </w:r>
    </w:p>
    <w:p w14:paraId="4F6E4C8C" w14:textId="77777777" w:rsidR="00553570" w:rsidRPr="00F6202B" w:rsidRDefault="00F8696E" w:rsidP="00A506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Appropriation for funds and dividend payment rate in 2023 are as follows:</w:t>
      </w: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1"/>
        <w:gridCol w:w="833"/>
        <w:gridCol w:w="3082"/>
      </w:tblGrid>
      <w:tr w:rsidR="00553570" w:rsidRPr="00F6202B" w14:paraId="65209108" w14:textId="77777777" w:rsidTr="00F6202B">
        <w:tc>
          <w:tcPr>
            <w:tcW w:w="28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7B860D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D28FD6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7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E51341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2023 (Unit: VND)</w:t>
            </w:r>
          </w:p>
        </w:tc>
      </w:tr>
      <w:tr w:rsidR="00553570" w:rsidRPr="00F6202B" w14:paraId="1A592B1E" w14:textId="77777777" w:rsidTr="00F6202B">
        <w:tc>
          <w:tcPr>
            <w:tcW w:w="28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68D9D1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 Profit after tax in 2023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78EEB5" w14:textId="77777777" w:rsidR="00553570" w:rsidRPr="00F6202B" w:rsidRDefault="00553570" w:rsidP="00F6202B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6A700A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1,658,379,616</w:t>
            </w:r>
          </w:p>
        </w:tc>
      </w:tr>
      <w:tr w:rsidR="00553570" w:rsidRPr="00F6202B" w14:paraId="598E7629" w14:textId="77777777" w:rsidTr="00F6202B">
        <w:tc>
          <w:tcPr>
            <w:tcW w:w="28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D7DE8F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 Appropriation for funds from profit after tax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820ACA" w14:textId="77777777" w:rsidR="00553570" w:rsidRPr="00F6202B" w:rsidRDefault="00553570" w:rsidP="00F6202B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E49E02" w14:textId="77777777" w:rsidR="00553570" w:rsidRPr="00F6202B" w:rsidRDefault="00553570" w:rsidP="00F6202B">
            <w:pP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553570" w:rsidRPr="00F6202B" w14:paraId="4D07DCBF" w14:textId="77777777" w:rsidTr="00F6202B">
        <w:tc>
          <w:tcPr>
            <w:tcW w:w="28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57EF0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2.1 Financial reserve fund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794A6A" w14:textId="77777777" w:rsidR="00553570" w:rsidRPr="00F6202B" w:rsidRDefault="00553570" w:rsidP="00F6202B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2895CE" w14:textId="77777777" w:rsidR="00553570" w:rsidRPr="00F6202B" w:rsidRDefault="00553570" w:rsidP="00F6202B">
            <w:pP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553570" w:rsidRPr="00F6202B" w14:paraId="00341E12" w14:textId="77777777" w:rsidTr="00F6202B">
        <w:tc>
          <w:tcPr>
            <w:tcW w:w="28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AC6E38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2.2 Fund for supplementing charter capital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0D243A" w14:textId="77777777" w:rsidR="00553570" w:rsidRPr="00F6202B" w:rsidRDefault="00553570" w:rsidP="00F6202B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337C4C" w14:textId="77777777" w:rsidR="00553570" w:rsidRPr="00F6202B" w:rsidRDefault="00553570" w:rsidP="00F6202B">
            <w:pP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553570" w:rsidRPr="00F6202B" w14:paraId="08D2571C" w14:textId="77777777" w:rsidTr="00F6202B">
        <w:tc>
          <w:tcPr>
            <w:tcW w:w="28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723D5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2.3 Bonus and welfare fund for employees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A7A07A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10%</w:t>
            </w:r>
          </w:p>
        </w:tc>
        <w:tc>
          <w:tcPr>
            <w:tcW w:w="17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C42BD5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165,837,962</w:t>
            </w:r>
          </w:p>
        </w:tc>
      </w:tr>
      <w:tr w:rsidR="00553570" w:rsidRPr="00F6202B" w14:paraId="55776ED7" w14:textId="77777777" w:rsidTr="00F6202B">
        <w:tc>
          <w:tcPr>
            <w:tcW w:w="28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6480A7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 Proposal for dividend payment (2,095,985 shares)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A831FB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7.0%</w:t>
            </w:r>
          </w:p>
        </w:tc>
        <w:tc>
          <w:tcPr>
            <w:tcW w:w="17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921D35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1,467,189,500</w:t>
            </w:r>
          </w:p>
        </w:tc>
      </w:tr>
      <w:tr w:rsidR="00553570" w:rsidRPr="00F6202B" w14:paraId="76E1F505" w14:textId="77777777" w:rsidTr="00F6202B">
        <w:tc>
          <w:tcPr>
            <w:tcW w:w="28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E42038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4 Remaining profit transferred to 2024</w:t>
            </w:r>
          </w:p>
        </w:tc>
        <w:tc>
          <w:tcPr>
            <w:tcW w:w="4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B4F6B0" w14:textId="77777777" w:rsidR="00553570" w:rsidRPr="00F6202B" w:rsidRDefault="00553570" w:rsidP="00F6202B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687875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25,352,154</w:t>
            </w:r>
          </w:p>
        </w:tc>
      </w:tr>
    </w:tbl>
    <w:p w14:paraId="5581BCD2" w14:textId="77777777" w:rsidR="00553570" w:rsidRPr="00F6202B" w:rsidRDefault="00F8696E" w:rsidP="00A506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Dividend payment in 2023</w:t>
      </w:r>
    </w:p>
    <w:p w14:paraId="6D35B5CE" w14:textId="77777777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 xml:space="preserve"> Plan on dividend payment by shares:</w:t>
      </w:r>
    </w:p>
    <w:p w14:paraId="408C80CB" w14:textId="77777777" w:rsidR="00553570" w:rsidRPr="00F6202B" w:rsidRDefault="00F8696E" w:rsidP="00A506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Dividend payment rate: 7.0%</w:t>
      </w:r>
    </w:p>
    <w:p w14:paraId="6935C762" w14:textId="77777777" w:rsidR="00553570" w:rsidRPr="00F6202B" w:rsidRDefault="00F8696E" w:rsidP="00A506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47"/>
          <w:tab w:val="left" w:pos="9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Total amount of dividend payment: VND 1,467,189,500</w:t>
      </w:r>
    </w:p>
    <w:p w14:paraId="4F2EDA0F" w14:textId="4E18407C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‎‎Article 6. Approve the Report on the remuneration for the Board of Directors</w:t>
      </w:r>
      <w:r w:rsidR="00A506C6">
        <w:rPr>
          <w:rFonts w:ascii="Arial" w:hAnsi="Arial" w:cs="Arial"/>
          <w:color w:val="010000"/>
          <w:sz w:val="20"/>
        </w:rPr>
        <w:t xml:space="preserve"> and Supervisory Board, </w:t>
      </w:r>
      <w:r w:rsidRPr="00F6202B">
        <w:rPr>
          <w:rFonts w:ascii="Arial" w:hAnsi="Arial" w:cs="Arial"/>
          <w:color w:val="010000"/>
          <w:sz w:val="20"/>
        </w:rPr>
        <w:t>salary of the Board of Directors and other managers in 2023 and proposal on the remuneration for</w:t>
      </w:r>
      <w:r w:rsidR="00A506C6">
        <w:rPr>
          <w:rFonts w:ascii="Arial" w:hAnsi="Arial" w:cs="Arial"/>
          <w:color w:val="010000"/>
          <w:sz w:val="20"/>
        </w:rPr>
        <w:t xml:space="preserve"> the Board of Directors and </w:t>
      </w:r>
      <w:r w:rsidRPr="00F6202B">
        <w:rPr>
          <w:rFonts w:ascii="Arial" w:hAnsi="Arial" w:cs="Arial"/>
          <w:color w:val="010000"/>
          <w:sz w:val="20"/>
        </w:rPr>
        <w:t>Supervisory Board in 2024.</w:t>
      </w:r>
    </w:p>
    <w:p w14:paraId="53705B06" w14:textId="77777777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tabs>
          <w:tab w:val="left" w:pos="5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‎‎Article 7. Approve the selection of an independent audit company for the Financial Statement for the fiscal year 2024</w:t>
      </w:r>
    </w:p>
    <w:p w14:paraId="1860CC66" w14:textId="3389ACEC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 xml:space="preserve">‎‎Article 8. Approve contracts and transactions between the Company and </w:t>
      </w:r>
      <w:r w:rsidR="00A506C6">
        <w:rPr>
          <w:rFonts w:ascii="Arial" w:hAnsi="Arial" w:cs="Arial"/>
          <w:color w:val="010000"/>
          <w:sz w:val="20"/>
        </w:rPr>
        <w:t>related</w:t>
      </w:r>
      <w:r w:rsidRPr="00F6202B">
        <w:rPr>
          <w:rFonts w:ascii="Arial" w:hAnsi="Arial" w:cs="Arial"/>
          <w:color w:val="010000"/>
          <w:sz w:val="20"/>
        </w:rPr>
        <w:t xml:space="preserve"> persons.</w:t>
      </w:r>
    </w:p>
    <w:p w14:paraId="548E2904" w14:textId="77777777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tabs>
          <w:tab w:val="left" w:pos="8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‎‎Article 9. Approve the election results of members of the Board of Directors and the Supervisory Board for the term 2024-2029:</w:t>
      </w:r>
    </w:p>
    <w:p w14:paraId="6CC84EA0" w14:textId="77777777" w:rsidR="00553570" w:rsidRPr="00F6202B" w:rsidRDefault="00F8696E" w:rsidP="00F6202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* List of elected members of the Board of Directors:</w:t>
      </w: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79"/>
        <w:gridCol w:w="7537"/>
      </w:tblGrid>
      <w:tr w:rsidR="00553570" w:rsidRPr="00F6202B" w14:paraId="1B7102C8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7D379A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CAE2F0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</w:tr>
      <w:tr w:rsidR="00553570" w:rsidRPr="00F6202B" w14:paraId="37439B04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847438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lastRenderedPageBreak/>
              <w:t>1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6B5FB6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Nguyen Thi Thu Hong</w:t>
            </w:r>
          </w:p>
        </w:tc>
      </w:tr>
      <w:tr w:rsidR="00553570" w:rsidRPr="00F6202B" w14:paraId="30249CE5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9EB063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E187D3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Le Dang Khoa</w:t>
            </w:r>
          </w:p>
        </w:tc>
      </w:tr>
      <w:tr w:rsidR="00553570" w:rsidRPr="00F6202B" w14:paraId="748671CC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A3BE9C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D409BD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Ngo Quang Than</w:t>
            </w:r>
          </w:p>
        </w:tc>
      </w:tr>
      <w:tr w:rsidR="00553570" w:rsidRPr="00F6202B" w14:paraId="3F3073A7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C88CA7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C8D215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Hoang Hong Huong</w:t>
            </w:r>
          </w:p>
        </w:tc>
      </w:tr>
      <w:tr w:rsidR="00553570" w:rsidRPr="00F6202B" w14:paraId="16CDA0E3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D1A99B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647447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Nguyen Duy Cuong</w:t>
            </w:r>
          </w:p>
        </w:tc>
      </w:tr>
    </w:tbl>
    <w:p w14:paraId="69A1D6D0" w14:textId="77777777" w:rsidR="00553570" w:rsidRPr="00F6202B" w:rsidRDefault="00F8696E" w:rsidP="00F6202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* List of elected members of the Supervisory Board:</w:t>
      </w: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79"/>
        <w:gridCol w:w="7537"/>
      </w:tblGrid>
      <w:tr w:rsidR="00553570" w:rsidRPr="00F6202B" w14:paraId="6D350844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BAEC2B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02D1BD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</w:tr>
      <w:tr w:rsidR="00553570" w:rsidRPr="00F6202B" w14:paraId="214C9A9E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8AFE6C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4F2BB5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Ta Thi Thanh Huyen</w:t>
            </w:r>
          </w:p>
        </w:tc>
      </w:tr>
      <w:tr w:rsidR="00553570" w:rsidRPr="00F6202B" w14:paraId="12376C0C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D46D67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75BF43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 xml:space="preserve">Nguyen Thi </w:t>
            </w:r>
            <w:proofErr w:type="spellStart"/>
            <w:r w:rsidRPr="00F6202B">
              <w:rPr>
                <w:rFonts w:ascii="Arial" w:hAnsi="Arial" w:cs="Arial"/>
                <w:color w:val="010000"/>
                <w:sz w:val="20"/>
              </w:rPr>
              <w:t>Luyen</w:t>
            </w:r>
            <w:proofErr w:type="spellEnd"/>
          </w:p>
        </w:tc>
      </w:tr>
      <w:tr w:rsidR="00553570" w:rsidRPr="00F6202B" w14:paraId="78B81D4C" w14:textId="77777777" w:rsidTr="00F6202B">
        <w:tc>
          <w:tcPr>
            <w:tcW w:w="8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38C1D4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41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70C811" w14:textId="77777777" w:rsidR="00553570" w:rsidRPr="00F6202B" w:rsidRDefault="00F8696E" w:rsidP="00F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6202B">
              <w:rPr>
                <w:rFonts w:ascii="Arial" w:hAnsi="Arial" w:cs="Arial"/>
                <w:color w:val="010000"/>
                <w:sz w:val="20"/>
              </w:rPr>
              <w:t xml:space="preserve">Nguyen </w:t>
            </w:r>
            <w:proofErr w:type="spellStart"/>
            <w:r w:rsidRPr="00F6202B">
              <w:rPr>
                <w:rFonts w:ascii="Arial" w:hAnsi="Arial" w:cs="Arial"/>
                <w:color w:val="010000"/>
                <w:sz w:val="20"/>
              </w:rPr>
              <w:t>Dac</w:t>
            </w:r>
            <w:proofErr w:type="spellEnd"/>
            <w:r w:rsidRPr="00F6202B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6202B">
              <w:rPr>
                <w:rFonts w:ascii="Arial" w:hAnsi="Arial" w:cs="Arial"/>
                <w:color w:val="010000"/>
                <w:sz w:val="20"/>
              </w:rPr>
              <w:t>Huan</w:t>
            </w:r>
            <w:proofErr w:type="spellEnd"/>
          </w:p>
        </w:tc>
      </w:tr>
    </w:tbl>
    <w:p w14:paraId="4A48E6BE" w14:textId="5F9B8F98" w:rsidR="00553570" w:rsidRPr="00F6202B" w:rsidRDefault="00F8696E" w:rsidP="00A506C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6202B">
        <w:rPr>
          <w:rFonts w:ascii="Arial" w:hAnsi="Arial" w:cs="Arial"/>
          <w:color w:val="010000"/>
          <w:sz w:val="20"/>
        </w:rPr>
        <w:t>‎‎Article 10. This General Mandate is</w:t>
      </w:r>
      <w:r w:rsidR="00F6202B" w:rsidRPr="00F6202B">
        <w:rPr>
          <w:rFonts w:ascii="Arial" w:hAnsi="Arial" w:cs="Arial"/>
          <w:color w:val="010000"/>
          <w:sz w:val="20"/>
        </w:rPr>
        <w:t xml:space="preserve"> </w:t>
      </w:r>
      <w:r w:rsidRPr="00F6202B">
        <w:rPr>
          <w:rFonts w:ascii="Arial" w:hAnsi="Arial" w:cs="Arial"/>
          <w:color w:val="010000"/>
          <w:sz w:val="20"/>
        </w:rPr>
        <w:t>approved by the Annual General Mandate 2024 of Hanoi Textbooks Printing JSC.</w:t>
      </w:r>
      <w:r w:rsidR="00F6202B" w:rsidRPr="00F6202B">
        <w:rPr>
          <w:rFonts w:ascii="Arial" w:hAnsi="Arial" w:cs="Arial"/>
          <w:color w:val="010000"/>
          <w:sz w:val="20"/>
        </w:rPr>
        <w:t xml:space="preserve"> </w:t>
      </w:r>
      <w:r w:rsidR="00A506C6">
        <w:rPr>
          <w:rFonts w:ascii="Arial" w:hAnsi="Arial" w:cs="Arial"/>
          <w:color w:val="010000"/>
          <w:sz w:val="20"/>
        </w:rPr>
        <w:t>The Board of Directors and</w:t>
      </w:r>
      <w:bookmarkStart w:id="0" w:name="_GoBack"/>
      <w:bookmarkEnd w:id="0"/>
      <w:r w:rsidRPr="00F6202B">
        <w:rPr>
          <w:rFonts w:ascii="Arial" w:hAnsi="Arial" w:cs="Arial"/>
          <w:color w:val="010000"/>
          <w:sz w:val="20"/>
        </w:rPr>
        <w:t xml:space="preserve"> Executive Board of the Company shall base on the content of this General Mandate to organize and implement.</w:t>
      </w:r>
    </w:p>
    <w:sectPr w:rsidR="00553570" w:rsidRPr="00F6202B" w:rsidSect="00F6202B">
      <w:pgSz w:w="11906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7EF"/>
    <w:multiLevelType w:val="multilevel"/>
    <w:tmpl w:val="EA94DE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4E485D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7D301E8"/>
    <w:multiLevelType w:val="multilevel"/>
    <w:tmpl w:val="B40A5AE4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E485D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824256E"/>
    <w:multiLevelType w:val="multilevel"/>
    <w:tmpl w:val="283CCF4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96F9C"/>
    <w:multiLevelType w:val="multilevel"/>
    <w:tmpl w:val="A2704A38"/>
    <w:lvl w:ilvl="0">
      <w:start w:val="1"/>
      <w:numFmt w:val="upperRoman"/>
      <w:lvlText w:val="%1."/>
      <w:lvlJc w:val="left"/>
      <w:pPr>
        <w:ind w:left="1080" w:hanging="72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70"/>
    <w:rsid w:val="00553570"/>
    <w:rsid w:val="00A506C6"/>
    <w:rsid w:val="00F6202B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A4AC8"/>
  <w15:docId w15:val="{DB363DD0-3223-4E62-B22A-2D87A5DD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75B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75B"/>
      <w:sz w:val="34"/>
      <w:szCs w:val="34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75B"/>
      <w:sz w:val="28"/>
      <w:szCs w:val="28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75B"/>
      <w:sz w:val="30"/>
      <w:szCs w:val="3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ED6D94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75B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75B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173" w:lineRule="auto"/>
    </w:pPr>
    <w:rPr>
      <w:rFonts w:ascii="Arial" w:eastAsia="Arial" w:hAnsi="Arial" w:cs="Arial"/>
      <w:sz w:val="8"/>
      <w:szCs w:val="8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15"/>
      <w:szCs w:val="15"/>
    </w:rPr>
  </w:style>
  <w:style w:type="paragraph" w:styleId="BodyText">
    <w:name w:val="Body Text"/>
    <w:basedOn w:val="Normal"/>
    <w:link w:val="BodyTextChar"/>
    <w:qFormat/>
    <w:pPr>
      <w:spacing w:line="322" w:lineRule="auto"/>
    </w:pPr>
    <w:rPr>
      <w:rFonts w:ascii="Times New Roman" w:eastAsia="Times New Roman" w:hAnsi="Times New Roman" w:cs="Times New Roman"/>
      <w:color w:val="4D475B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color w:val="4D475B"/>
      <w:sz w:val="34"/>
      <w:szCs w:val="34"/>
    </w:rPr>
  </w:style>
  <w:style w:type="paragraph" w:customStyle="1" w:styleId="Bodytext30">
    <w:name w:val="Body text (3)"/>
    <w:basedOn w:val="Normal"/>
    <w:link w:val="Bodytext3"/>
    <w:pPr>
      <w:spacing w:line="334" w:lineRule="auto"/>
      <w:jc w:val="center"/>
    </w:pPr>
    <w:rPr>
      <w:rFonts w:ascii="Times New Roman" w:eastAsia="Times New Roman" w:hAnsi="Times New Roman" w:cs="Times New Roman"/>
      <w:b/>
      <w:bCs/>
      <w:color w:val="4D475B"/>
      <w:sz w:val="28"/>
      <w:szCs w:val="28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color w:val="4D475B"/>
      <w:sz w:val="30"/>
      <w:szCs w:val="30"/>
    </w:rPr>
  </w:style>
  <w:style w:type="paragraph" w:customStyle="1" w:styleId="Bodytext50">
    <w:name w:val="Body text (5)"/>
    <w:basedOn w:val="Normal"/>
    <w:link w:val="Bodytext5"/>
    <w:pPr>
      <w:jc w:val="right"/>
    </w:pPr>
    <w:rPr>
      <w:rFonts w:ascii="Arial" w:eastAsia="Arial" w:hAnsi="Arial" w:cs="Arial"/>
      <w:color w:val="ED6D94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color w:val="4D475B"/>
    </w:rPr>
  </w:style>
  <w:style w:type="paragraph" w:customStyle="1" w:styleId="Other0">
    <w:name w:val="Other"/>
    <w:basedOn w:val="Normal"/>
    <w:link w:val="Other"/>
    <w:pPr>
      <w:spacing w:line="322" w:lineRule="auto"/>
    </w:pPr>
    <w:rPr>
      <w:rFonts w:ascii="Times New Roman" w:eastAsia="Times New Roman" w:hAnsi="Times New Roman" w:cs="Times New Roman"/>
      <w:color w:val="4D475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F8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rG0nEm00aS8Ewk6JiynOxwoJQ==">CgMxLjA4AHIhMWNuQTIyWEZWQU8yRFFzeFZOUnNvck0wdmRQMzVsT0Iw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2024-05-03T12:15:00Z</dcterms:created>
  <dcterms:modified xsi:type="dcterms:W3CDTF">2024-05-03T12:15:00Z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f26335e2900646c156ca50aa3bfb309c994f23e61763f753a942509e04fefc0e</vt:lpwstr>
  </property>
</Properties>
</file>