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111922"/>
          <w:sz w:val="20"/>
          <w:szCs w:val="20"/>
        </w:rPr>
      </w:pPr>
      <w:r w:rsidRPr="00D94A7A">
        <w:rPr>
          <w:rFonts w:ascii="Arial" w:hAnsi="Arial"/>
          <w:b/>
          <w:color w:val="111922"/>
          <w:sz w:val="20"/>
        </w:rPr>
        <w:t>TTC: Annual General Mandate 2024</w:t>
      </w:r>
    </w:p>
    <w:p w14:paraId="00000002" w14:textId="4B6B87A0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30353E"/>
          <w:sz w:val="20"/>
        </w:rPr>
        <w:t xml:space="preserve">On April 17, 2024, Thanh </w:t>
      </w:r>
      <w:proofErr w:type="spellStart"/>
      <w:r w:rsidRPr="00D94A7A">
        <w:rPr>
          <w:rFonts w:ascii="Arial" w:hAnsi="Arial"/>
          <w:color w:val="30353E"/>
          <w:sz w:val="20"/>
        </w:rPr>
        <w:t>Thanh</w:t>
      </w:r>
      <w:proofErr w:type="spellEnd"/>
      <w:r w:rsidRPr="00D94A7A">
        <w:rPr>
          <w:rFonts w:ascii="Arial" w:hAnsi="Arial"/>
          <w:color w:val="30353E"/>
          <w:sz w:val="20"/>
        </w:rPr>
        <w:t xml:space="preserve"> Joint Stock Company announced General Mandate No. 01/NQ</w:t>
      </w:r>
      <w:r w:rsidR="004C5846" w:rsidRPr="00D94A7A">
        <w:rPr>
          <w:rFonts w:ascii="Arial" w:hAnsi="Arial"/>
          <w:color w:val="30353E"/>
          <w:sz w:val="20"/>
        </w:rPr>
        <w:t>-DHDCD</w:t>
      </w:r>
      <w:r w:rsidRPr="00D94A7A">
        <w:rPr>
          <w:rFonts w:ascii="Arial" w:hAnsi="Arial"/>
          <w:color w:val="30353E"/>
          <w:sz w:val="20"/>
        </w:rPr>
        <w:t xml:space="preserve"> as follows:</w:t>
      </w:r>
    </w:p>
    <w:p w14:paraId="00000003" w14:textId="4FD0218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1: </w:t>
      </w:r>
      <w:r w:rsidRPr="00D94A7A">
        <w:rPr>
          <w:rFonts w:ascii="Arial" w:hAnsi="Arial"/>
          <w:sz w:val="20"/>
        </w:rPr>
        <w:t xml:space="preserve">Approve the Report on </w:t>
      </w:r>
      <w:r w:rsidR="004C5846" w:rsidRPr="00D94A7A">
        <w:rPr>
          <w:rFonts w:ascii="Arial" w:hAnsi="Arial"/>
          <w:sz w:val="20"/>
        </w:rPr>
        <w:t xml:space="preserve">production and business results in </w:t>
      </w:r>
      <w:r w:rsidRPr="00D94A7A">
        <w:rPr>
          <w:rFonts w:ascii="Arial" w:hAnsi="Arial"/>
          <w:sz w:val="20"/>
        </w:rPr>
        <w:t xml:space="preserve">2023 and </w:t>
      </w:r>
      <w:r w:rsidR="004C5846" w:rsidRPr="00D94A7A">
        <w:rPr>
          <w:rFonts w:ascii="Arial" w:hAnsi="Arial"/>
          <w:sz w:val="20"/>
        </w:rPr>
        <w:t xml:space="preserve">the production and business plan </w:t>
      </w:r>
      <w:r w:rsidRPr="00D94A7A">
        <w:rPr>
          <w:rFonts w:ascii="Arial" w:hAnsi="Arial"/>
          <w:sz w:val="20"/>
        </w:rPr>
        <w:t>2024 with the following main target</w:t>
      </w:r>
      <w:r w:rsidR="004C5846" w:rsidRPr="00D94A7A">
        <w:rPr>
          <w:rFonts w:ascii="Arial" w:hAnsi="Arial"/>
          <w:sz w:val="20"/>
        </w:rPr>
        <w:t>s</w:t>
      </w:r>
      <w:r w:rsidRPr="00D94A7A">
        <w:rPr>
          <w:rFonts w:ascii="Arial" w:hAnsi="Arial"/>
          <w:sz w:val="20"/>
        </w:rPr>
        <w:t>:</w:t>
      </w:r>
    </w:p>
    <w:p w14:paraId="00000004" w14:textId="6D1FE233" w:rsidR="00261C6A" w:rsidRPr="00D94A7A" w:rsidRDefault="00C97832" w:rsidP="009C4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Production and business results </w:t>
      </w:r>
      <w:r w:rsidR="004C5846" w:rsidRPr="00D94A7A">
        <w:rPr>
          <w:rFonts w:ascii="Arial" w:hAnsi="Arial"/>
          <w:color w:val="111922"/>
          <w:sz w:val="20"/>
        </w:rPr>
        <w:t xml:space="preserve">in </w:t>
      </w:r>
      <w:r w:rsidRPr="00D94A7A">
        <w:rPr>
          <w:rFonts w:ascii="Arial" w:hAnsi="Arial"/>
          <w:color w:val="111922"/>
          <w:sz w:val="20"/>
        </w:rPr>
        <w:t>2023:</w:t>
      </w:r>
    </w:p>
    <w:p w14:paraId="00000005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Revenue:</w:t>
      </w:r>
      <w:r w:rsidRPr="00D94A7A">
        <w:rPr>
          <w:rFonts w:ascii="Arial" w:hAnsi="Arial"/>
          <w:color w:val="111922"/>
          <w:sz w:val="20"/>
        </w:rPr>
        <w:tab/>
        <w:t>VND 227.62 Billion.</w:t>
      </w:r>
    </w:p>
    <w:p w14:paraId="00000006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Profit before tax:</w:t>
      </w:r>
      <w:r w:rsidRPr="00D94A7A">
        <w:rPr>
          <w:rFonts w:ascii="Arial" w:hAnsi="Arial"/>
          <w:color w:val="111922"/>
          <w:sz w:val="20"/>
        </w:rPr>
        <w:tab/>
        <w:t>VND 9.53 billion</w:t>
      </w:r>
    </w:p>
    <w:p w14:paraId="00000007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Dividends:</w:t>
      </w:r>
      <w:r w:rsidRPr="00D94A7A">
        <w:rPr>
          <w:rFonts w:ascii="Arial" w:hAnsi="Arial"/>
          <w:color w:val="111922"/>
          <w:sz w:val="20"/>
        </w:rPr>
        <w:tab/>
      </w:r>
      <w:r w:rsidRPr="00D94A7A">
        <w:rPr>
          <w:rFonts w:ascii="Arial" w:hAnsi="Arial"/>
          <w:color w:val="30353E"/>
          <w:sz w:val="20"/>
        </w:rPr>
        <w:tab/>
      </w:r>
      <w:r w:rsidRPr="00D94A7A">
        <w:rPr>
          <w:rFonts w:ascii="Arial" w:hAnsi="Arial"/>
          <w:color w:val="111922"/>
          <w:sz w:val="20"/>
        </w:rPr>
        <w:t>8%</w:t>
      </w:r>
    </w:p>
    <w:p w14:paraId="00000008" w14:textId="7B35AB05" w:rsidR="00261C6A" w:rsidRPr="00D94A7A" w:rsidRDefault="00C97832" w:rsidP="009C4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Production and business plan 2024:</w:t>
      </w:r>
    </w:p>
    <w:p w14:paraId="00000009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Revenue:</w:t>
      </w:r>
      <w:r w:rsidRPr="00D94A7A">
        <w:rPr>
          <w:rFonts w:ascii="Arial" w:hAnsi="Arial"/>
          <w:color w:val="111922"/>
          <w:sz w:val="20"/>
        </w:rPr>
        <w:tab/>
        <w:t>VND 290.812 billion</w:t>
      </w:r>
    </w:p>
    <w:p w14:paraId="0000000A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Profit before tax: </w:t>
      </w:r>
      <w:r w:rsidRPr="00D94A7A">
        <w:rPr>
          <w:rFonts w:ascii="Arial" w:hAnsi="Arial"/>
          <w:color w:val="111922"/>
          <w:sz w:val="20"/>
        </w:rPr>
        <w:tab/>
        <w:t>VND 9.355 billion</w:t>
      </w:r>
    </w:p>
    <w:p w14:paraId="0000000B" w14:textId="77777777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2835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Dividends:</w:t>
      </w:r>
      <w:r w:rsidRPr="00D94A7A">
        <w:rPr>
          <w:rFonts w:ascii="Arial" w:hAnsi="Arial"/>
          <w:color w:val="111922"/>
          <w:sz w:val="20"/>
        </w:rPr>
        <w:tab/>
      </w:r>
      <w:r w:rsidRPr="00D94A7A">
        <w:rPr>
          <w:rFonts w:ascii="Arial" w:hAnsi="Arial"/>
          <w:color w:val="111922"/>
          <w:sz w:val="20"/>
        </w:rPr>
        <w:tab/>
        <w:t>8%</w:t>
      </w:r>
    </w:p>
    <w:p w14:paraId="0000000C" w14:textId="1E87FC08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2: </w:t>
      </w:r>
      <w:r w:rsidRPr="00D94A7A">
        <w:rPr>
          <w:rFonts w:ascii="Arial" w:hAnsi="Arial"/>
          <w:sz w:val="20"/>
        </w:rPr>
        <w:t>Approve the Report on activities of the Board of Directors in 2023 and the operati</w:t>
      </w:r>
      <w:r w:rsidR="004C5846" w:rsidRPr="00D94A7A">
        <w:rPr>
          <w:rFonts w:ascii="Arial" w:hAnsi="Arial"/>
          <w:sz w:val="20"/>
        </w:rPr>
        <w:t>onal</w:t>
      </w:r>
      <w:r w:rsidRPr="00D94A7A">
        <w:rPr>
          <w:rFonts w:ascii="Arial" w:hAnsi="Arial"/>
          <w:sz w:val="20"/>
        </w:rPr>
        <w:t xml:space="preserve"> plan</w:t>
      </w:r>
      <w:r w:rsidR="004C5846" w:rsidRPr="00D94A7A">
        <w:rPr>
          <w:rFonts w:ascii="Arial" w:hAnsi="Arial"/>
          <w:sz w:val="20"/>
        </w:rPr>
        <w:t xml:space="preserve"> </w:t>
      </w:r>
      <w:r w:rsidRPr="00D94A7A">
        <w:rPr>
          <w:rFonts w:ascii="Arial" w:hAnsi="Arial"/>
          <w:sz w:val="20"/>
        </w:rPr>
        <w:t>2024;</w:t>
      </w:r>
    </w:p>
    <w:p w14:paraId="0000000D" w14:textId="542A3FA9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38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3: Approve the results of </w:t>
      </w:r>
      <w:r w:rsidR="004C5846" w:rsidRPr="00D94A7A">
        <w:rPr>
          <w:rFonts w:ascii="Arial" w:hAnsi="Arial"/>
          <w:color w:val="111922"/>
          <w:sz w:val="20"/>
        </w:rPr>
        <w:t>A</w:t>
      </w:r>
      <w:r w:rsidRPr="00D94A7A">
        <w:rPr>
          <w:rFonts w:ascii="Arial" w:hAnsi="Arial"/>
          <w:color w:val="111922"/>
          <w:sz w:val="20"/>
        </w:rPr>
        <w:t>udit</w:t>
      </w:r>
      <w:r w:rsidR="004C5846" w:rsidRPr="00D94A7A">
        <w:rPr>
          <w:rFonts w:ascii="Arial" w:hAnsi="Arial"/>
          <w:color w:val="111922"/>
          <w:sz w:val="20"/>
        </w:rPr>
        <w:t>or’s</w:t>
      </w:r>
      <w:r w:rsidRPr="00D94A7A">
        <w:rPr>
          <w:rFonts w:ascii="Arial" w:hAnsi="Arial"/>
          <w:color w:val="111922"/>
          <w:sz w:val="20"/>
        </w:rPr>
        <w:t xml:space="preserve"> </w:t>
      </w:r>
      <w:r w:rsidR="004C5846" w:rsidRPr="00D94A7A">
        <w:rPr>
          <w:rFonts w:ascii="Arial" w:hAnsi="Arial"/>
          <w:color w:val="111922"/>
          <w:sz w:val="20"/>
        </w:rPr>
        <w:t>R</w:t>
      </w:r>
      <w:r w:rsidRPr="00D94A7A">
        <w:rPr>
          <w:rFonts w:ascii="Arial" w:hAnsi="Arial"/>
          <w:color w:val="111922"/>
          <w:sz w:val="20"/>
        </w:rPr>
        <w:t xml:space="preserve">eport for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>fiscal year 2023.</w:t>
      </w:r>
    </w:p>
    <w:p w14:paraId="0000000E" w14:textId="47D58E00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38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4: Approve the plan on profit distribution, dividend payment, and </w:t>
      </w:r>
      <w:proofErr w:type="spellStart"/>
      <w:r w:rsidR="004C5846" w:rsidRPr="00D94A7A">
        <w:rPr>
          <w:rFonts w:ascii="Arial" w:hAnsi="Arial"/>
          <w:color w:val="111922"/>
          <w:sz w:val="20"/>
        </w:rPr>
        <w:t>appropisation</w:t>
      </w:r>
      <w:proofErr w:type="spellEnd"/>
      <w:r w:rsidR="004C5846" w:rsidRPr="00D94A7A">
        <w:rPr>
          <w:rFonts w:ascii="Arial" w:hAnsi="Arial"/>
          <w:color w:val="111922"/>
          <w:sz w:val="20"/>
        </w:rPr>
        <w:t xml:space="preserve"> for </w:t>
      </w:r>
      <w:r w:rsidRPr="00D94A7A">
        <w:rPr>
          <w:rFonts w:ascii="Arial" w:hAnsi="Arial"/>
          <w:color w:val="111922"/>
          <w:sz w:val="20"/>
        </w:rPr>
        <w:t>fund</w:t>
      </w:r>
      <w:r w:rsidR="004C5846" w:rsidRPr="00D94A7A">
        <w:rPr>
          <w:rFonts w:ascii="Arial" w:hAnsi="Arial"/>
          <w:color w:val="111922"/>
          <w:sz w:val="20"/>
        </w:rPr>
        <w:t xml:space="preserve"> </w:t>
      </w:r>
      <w:r w:rsidRPr="00D94A7A">
        <w:rPr>
          <w:rFonts w:ascii="Arial" w:hAnsi="Arial"/>
          <w:color w:val="111922"/>
          <w:sz w:val="20"/>
        </w:rPr>
        <w:t>in 2023;</w:t>
      </w:r>
    </w:p>
    <w:p w14:paraId="0000000F" w14:textId="77777777" w:rsidR="00261C6A" w:rsidRPr="00D94A7A" w:rsidRDefault="00C97832" w:rsidP="009C4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3402"/>
          <w:tab w:val="left" w:pos="5103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Total profit before tax:</w:t>
      </w:r>
      <w:r w:rsidRPr="00D94A7A">
        <w:rPr>
          <w:rFonts w:ascii="Arial" w:hAnsi="Arial"/>
          <w:color w:val="111922"/>
          <w:sz w:val="20"/>
        </w:rPr>
        <w:tab/>
      </w:r>
      <w:r w:rsidRPr="00D94A7A">
        <w:rPr>
          <w:rFonts w:ascii="Arial" w:hAnsi="Arial"/>
          <w:color w:val="111922"/>
          <w:sz w:val="20"/>
        </w:rPr>
        <w:tab/>
        <w:t>VND 9,526,405,683</w:t>
      </w:r>
    </w:p>
    <w:p w14:paraId="00000010" w14:textId="77777777" w:rsidR="00261C6A" w:rsidRPr="00D94A7A" w:rsidRDefault="00C97832" w:rsidP="009C4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3402"/>
          <w:tab w:val="left" w:pos="5103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Profit after tax:</w:t>
      </w:r>
      <w:r w:rsidRPr="00D94A7A">
        <w:rPr>
          <w:rFonts w:ascii="Arial" w:hAnsi="Arial"/>
          <w:color w:val="111922"/>
          <w:sz w:val="20"/>
        </w:rPr>
        <w:tab/>
      </w:r>
      <w:r w:rsidRPr="00D94A7A">
        <w:rPr>
          <w:rFonts w:ascii="Arial" w:hAnsi="Arial"/>
          <w:color w:val="111922"/>
          <w:sz w:val="20"/>
        </w:rPr>
        <w:tab/>
        <w:t>VND 7,573,602,042</w:t>
      </w:r>
    </w:p>
    <w:p w14:paraId="00000011" w14:textId="7D1C98D4" w:rsidR="00261C6A" w:rsidRPr="00D94A7A" w:rsidRDefault="00C97832" w:rsidP="009C4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5103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Remaining undistributed profit of the previous year</w:t>
      </w:r>
      <w:r w:rsidR="004C5846" w:rsidRPr="00D94A7A">
        <w:rPr>
          <w:rFonts w:ascii="Arial" w:hAnsi="Arial"/>
          <w:color w:val="111922"/>
          <w:sz w:val="20"/>
        </w:rPr>
        <w:t>:</w:t>
      </w:r>
      <w:r w:rsidRPr="00D94A7A">
        <w:rPr>
          <w:rFonts w:ascii="Arial" w:hAnsi="Arial"/>
          <w:color w:val="111922"/>
          <w:sz w:val="20"/>
        </w:rPr>
        <w:tab/>
        <w:t>VND 18,220,745,506</w:t>
      </w:r>
    </w:p>
    <w:p w14:paraId="00000012" w14:textId="4D2004EF" w:rsidR="00261C6A" w:rsidRPr="00D94A7A" w:rsidRDefault="00C97832" w:rsidP="009C4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  <w:tab w:val="left" w:pos="5103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Accumulated </w:t>
      </w:r>
      <w:r w:rsidR="004C5846" w:rsidRPr="00D94A7A">
        <w:rPr>
          <w:rFonts w:ascii="Arial" w:hAnsi="Arial"/>
          <w:color w:val="111922"/>
          <w:sz w:val="20"/>
        </w:rPr>
        <w:t>r</w:t>
      </w:r>
      <w:r w:rsidRPr="00D94A7A">
        <w:rPr>
          <w:rFonts w:ascii="Arial" w:hAnsi="Arial"/>
          <w:color w:val="111922"/>
          <w:sz w:val="20"/>
        </w:rPr>
        <w:t xml:space="preserve">etained </w:t>
      </w:r>
      <w:r w:rsidR="004C5846" w:rsidRPr="00D94A7A">
        <w:rPr>
          <w:rFonts w:ascii="Arial" w:hAnsi="Arial"/>
          <w:color w:val="111922"/>
          <w:sz w:val="20"/>
        </w:rPr>
        <w:t>p</w:t>
      </w:r>
      <w:r w:rsidRPr="00D94A7A">
        <w:rPr>
          <w:rFonts w:ascii="Arial" w:hAnsi="Arial"/>
          <w:color w:val="111922"/>
          <w:sz w:val="20"/>
        </w:rPr>
        <w:t xml:space="preserve">rofit as </w:t>
      </w:r>
      <w:r w:rsidR="004C5846" w:rsidRPr="00D94A7A">
        <w:rPr>
          <w:rFonts w:ascii="Arial" w:hAnsi="Arial"/>
          <w:color w:val="111922"/>
          <w:sz w:val="20"/>
        </w:rPr>
        <w:t>of</w:t>
      </w:r>
      <w:r w:rsidRPr="00D94A7A">
        <w:rPr>
          <w:rFonts w:ascii="Arial" w:hAnsi="Arial"/>
          <w:color w:val="111922"/>
          <w:sz w:val="20"/>
        </w:rPr>
        <w:t xml:space="preserve"> December 31, 2023</w:t>
      </w:r>
      <w:r w:rsidR="004C5846" w:rsidRPr="00D94A7A">
        <w:rPr>
          <w:rFonts w:ascii="Arial" w:hAnsi="Arial"/>
          <w:color w:val="111922"/>
          <w:sz w:val="20"/>
        </w:rPr>
        <w:t>:</w:t>
      </w:r>
      <w:r w:rsidRPr="00D94A7A">
        <w:rPr>
          <w:rFonts w:ascii="Arial" w:hAnsi="Arial"/>
          <w:color w:val="111922"/>
          <w:sz w:val="20"/>
        </w:rPr>
        <w:tab/>
        <w:t>VND 25,794,347,548</w:t>
      </w:r>
    </w:p>
    <w:p w14:paraId="00000013" w14:textId="7777777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66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Profit distribution in 2023:</w:t>
      </w:r>
      <w:r w:rsidRPr="00D94A7A">
        <w:rPr>
          <w:rFonts w:ascii="Arial" w:hAnsi="Arial"/>
          <w:color w:val="111922"/>
          <w:sz w:val="20"/>
        </w:rPr>
        <w:tab/>
        <w:t>‘</w:t>
      </w:r>
    </w:p>
    <w:p w14:paraId="00000014" w14:textId="606A31D8" w:rsidR="00261C6A" w:rsidRPr="00D94A7A" w:rsidRDefault="00C97832" w:rsidP="009C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Dividend payment rate (08%/charter capital)</w:t>
      </w:r>
      <w:r w:rsidR="004C5846" w:rsidRPr="00D94A7A">
        <w:rPr>
          <w:rFonts w:ascii="Arial" w:hAnsi="Arial"/>
          <w:color w:val="111922"/>
          <w:sz w:val="20"/>
        </w:rPr>
        <w:t>:</w:t>
      </w:r>
      <w:r w:rsidRPr="00D94A7A">
        <w:rPr>
          <w:rFonts w:ascii="Arial" w:hAnsi="Arial"/>
          <w:color w:val="111922"/>
          <w:sz w:val="20"/>
        </w:rPr>
        <w:tab/>
        <w:t>VND 4,752,422,400</w:t>
      </w:r>
    </w:p>
    <w:p w14:paraId="00000015" w14:textId="65071052" w:rsidR="00261C6A" w:rsidRPr="00D94A7A" w:rsidRDefault="00C97832" w:rsidP="009C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Investment and development fund</w:t>
      </w:r>
      <w:r w:rsidR="004C5846" w:rsidRPr="00D94A7A">
        <w:rPr>
          <w:rFonts w:ascii="Arial" w:hAnsi="Arial"/>
          <w:color w:val="111922"/>
          <w:sz w:val="20"/>
        </w:rPr>
        <w:t>:</w:t>
      </w:r>
      <w:r w:rsidRPr="00D94A7A">
        <w:rPr>
          <w:rFonts w:ascii="Arial" w:hAnsi="Arial"/>
          <w:color w:val="111922"/>
          <w:sz w:val="20"/>
        </w:rPr>
        <w:tab/>
        <w:t>VND 1,021,179,642</w:t>
      </w:r>
    </w:p>
    <w:p w14:paraId="00000016" w14:textId="5B0A065C" w:rsidR="00261C6A" w:rsidRPr="00D94A7A" w:rsidRDefault="00C97832" w:rsidP="009C4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Bonus and welfare fund</w:t>
      </w:r>
      <w:r w:rsidR="004C5846" w:rsidRPr="00D94A7A">
        <w:rPr>
          <w:rFonts w:ascii="Arial" w:hAnsi="Arial"/>
          <w:color w:val="111922"/>
          <w:sz w:val="20"/>
        </w:rPr>
        <w:t>:</w:t>
      </w:r>
      <w:r w:rsidRPr="00D94A7A">
        <w:rPr>
          <w:rFonts w:ascii="Arial" w:hAnsi="Arial"/>
          <w:color w:val="111922"/>
          <w:sz w:val="20"/>
        </w:rPr>
        <w:tab/>
        <w:t>VND 1,800,000,000</w:t>
      </w:r>
    </w:p>
    <w:p w14:paraId="00000017" w14:textId="7777777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In which:</w:t>
      </w:r>
    </w:p>
    <w:p w14:paraId="00000018" w14:textId="3B512B08" w:rsidR="00261C6A" w:rsidRPr="00D94A7A" w:rsidRDefault="00C97832" w:rsidP="009C4E7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686"/>
          <w:tab w:val="left" w:pos="8655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Bonus fund:</w:t>
      </w:r>
      <w:r w:rsidRPr="00D94A7A">
        <w:rPr>
          <w:rFonts w:ascii="Arial" w:hAnsi="Arial"/>
          <w:color w:val="111922"/>
          <w:sz w:val="20"/>
        </w:rPr>
        <w:tab/>
        <w:t>VND 900,000,000</w:t>
      </w:r>
      <w:r w:rsidRPr="00D94A7A">
        <w:rPr>
          <w:rFonts w:ascii="Arial" w:hAnsi="Arial"/>
          <w:color w:val="111922"/>
          <w:sz w:val="20"/>
        </w:rPr>
        <w:tab/>
      </w:r>
    </w:p>
    <w:p w14:paraId="00000019" w14:textId="012AFF02" w:rsidR="00261C6A" w:rsidRPr="00D94A7A" w:rsidRDefault="00C97832" w:rsidP="009C4E7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686"/>
          <w:tab w:val="left" w:pos="8655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Welfare fund:</w:t>
      </w:r>
      <w:r w:rsidRPr="00D94A7A">
        <w:rPr>
          <w:rFonts w:ascii="Arial" w:hAnsi="Arial"/>
          <w:color w:val="111922"/>
          <w:sz w:val="20"/>
        </w:rPr>
        <w:tab/>
        <w:t>VND 900,000,000</w:t>
      </w:r>
    </w:p>
    <w:p w14:paraId="0000001A" w14:textId="14DA8E57" w:rsidR="00261C6A" w:rsidRPr="00D94A7A" w:rsidRDefault="004C5846" w:rsidP="009C4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Remaining u</w:t>
      </w:r>
      <w:r w:rsidR="00C97832" w:rsidRPr="00D94A7A">
        <w:rPr>
          <w:rFonts w:ascii="Arial" w:hAnsi="Arial"/>
          <w:color w:val="111922"/>
          <w:sz w:val="20"/>
        </w:rPr>
        <w:t>ndistributed profit</w:t>
      </w:r>
      <w:r w:rsidRPr="00D94A7A">
        <w:rPr>
          <w:rFonts w:ascii="Arial" w:hAnsi="Arial"/>
          <w:color w:val="111922"/>
          <w:sz w:val="20"/>
        </w:rPr>
        <w:t>:</w:t>
      </w:r>
      <w:r w:rsidR="00C97832" w:rsidRPr="00D94A7A">
        <w:rPr>
          <w:rFonts w:ascii="Arial" w:hAnsi="Arial"/>
          <w:color w:val="111922"/>
          <w:sz w:val="20"/>
        </w:rPr>
        <w:tab/>
        <w:t>VND 18,220,745,506</w:t>
      </w:r>
    </w:p>
    <w:p w14:paraId="0000001B" w14:textId="102A35A0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5: Approve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 xml:space="preserve">remuneration settlement </w:t>
      </w:r>
      <w:r w:rsidR="004C5846" w:rsidRPr="00D94A7A">
        <w:rPr>
          <w:rFonts w:ascii="Arial" w:hAnsi="Arial"/>
          <w:color w:val="111922"/>
          <w:sz w:val="20"/>
        </w:rPr>
        <w:t>for</w:t>
      </w:r>
      <w:r w:rsidRPr="00D94A7A">
        <w:rPr>
          <w:rFonts w:ascii="Arial" w:hAnsi="Arial"/>
          <w:color w:val="111922"/>
          <w:sz w:val="20"/>
        </w:rPr>
        <w:t xml:space="preserve"> the Board of Directors</w:t>
      </w:r>
      <w:r w:rsidR="004C5846" w:rsidRPr="00D94A7A">
        <w:rPr>
          <w:rFonts w:ascii="Arial" w:hAnsi="Arial"/>
          <w:color w:val="111922"/>
          <w:sz w:val="20"/>
        </w:rPr>
        <w:t xml:space="preserve"> and </w:t>
      </w:r>
      <w:r w:rsidRPr="00D94A7A">
        <w:rPr>
          <w:rFonts w:ascii="Arial" w:hAnsi="Arial"/>
          <w:color w:val="111922"/>
          <w:sz w:val="20"/>
        </w:rPr>
        <w:t>Supervisory Board in 2023, approve</w:t>
      </w:r>
      <w:r w:rsidR="004C5846" w:rsidRPr="00D94A7A">
        <w:rPr>
          <w:rFonts w:ascii="Arial" w:hAnsi="Arial"/>
          <w:color w:val="111922"/>
          <w:sz w:val="20"/>
        </w:rPr>
        <w:t xml:space="preserve"> the</w:t>
      </w:r>
      <w:r w:rsidRPr="00D94A7A">
        <w:rPr>
          <w:rFonts w:ascii="Arial" w:hAnsi="Arial"/>
          <w:color w:val="111922"/>
          <w:sz w:val="20"/>
        </w:rPr>
        <w:t xml:space="preserve"> remuneration and bonus for production and business performance </w:t>
      </w:r>
      <w:r w:rsidR="004C5846" w:rsidRPr="00D94A7A">
        <w:rPr>
          <w:rFonts w:ascii="Arial" w:hAnsi="Arial"/>
          <w:color w:val="111922"/>
          <w:sz w:val="20"/>
        </w:rPr>
        <w:t>of</w:t>
      </w:r>
      <w:r w:rsidRPr="00D94A7A">
        <w:rPr>
          <w:rFonts w:ascii="Arial" w:hAnsi="Arial"/>
          <w:color w:val="111922"/>
          <w:sz w:val="20"/>
        </w:rPr>
        <w:t xml:space="preserve"> the Board of </w:t>
      </w:r>
      <w:r w:rsidRPr="00D94A7A">
        <w:rPr>
          <w:rFonts w:ascii="Arial" w:hAnsi="Arial"/>
          <w:color w:val="111922"/>
          <w:sz w:val="20"/>
        </w:rPr>
        <w:lastRenderedPageBreak/>
        <w:t>Directors</w:t>
      </w:r>
      <w:r w:rsidR="004C5846" w:rsidRPr="00D94A7A">
        <w:rPr>
          <w:rFonts w:ascii="Arial" w:hAnsi="Arial"/>
          <w:color w:val="111922"/>
          <w:sz w:val="20"/>
        </w:rPr>
        <w:t xml:space="preserve"> and </w:t>
      </w:r>
      <w:r w:rsidRPr="00D94A7A">
        <w:rPr>
          <w:rFonts w:ascii="Arial" w:hAnsi="Arial"/>
          <w:color w:val="111922"/>
          <w:sz w:val="20"/>
        </w:rPr>
        <w:t>Supervisory Board in 2024:</w:t>
      </w:r>
    </w:p>
    <w:p w14:paraId="0000001C" w14:textId="17A30AAE" w:rsidR="00261C6A" w:rsidRPr="00D94A7A" w:rsidRDefault="00C97832" w:rsidP="009C4E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Settlement of remuneration for the Board of Directors and</w:t>
      </w:r>
      <w:r w:rsidR="004C5846" w:rsidRPr="00D94A7A">
        <w:rPr>
          <w:rFonts w:ascii="Arial" w:hAnsi="Arial"/>
          <w:color w:val="111922"/>
          <w:sz w:val="20"/>
        </w:rPr>
        <w:t xml:space="preserve"> the</w:t>
      </w:r>
      <w:r w:rsidRPr="00D94A7A">
        <w:rPr>
          <w:rFonts w:ascii="Arial" w:hAnsi="Arial"/>
          <w:color w:val="111922"/>
          <w:sz w:val="20"/>
        </w:rPr>
        <w:t xml:space="preserve"> Supervisory Board in 2023 is: VND 312,000,000 </w:t>
      </w:r>
    </w:p>
    <w:p w14:paraId="0000001D" w14:textId="73FD3CCC" w:rsidR="00261C6A" w:rsidRPr="00D94A7A" w:rsidRDefault="00C97832" w:rsidP="009C4E7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Approve remuneration and bonus for production and business performance in 2024;</w:t>
      </w:r>
    </w:p>
    <w:p w14:paraId="0000001E" w14:textId="1BC63A9E" w:rsidR="00261C6A" w:rsidRPr="00D94A7A" w:rsidRDefault="00C97832" w:rsidP="009C4E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Remuneration </w:t>
      </w:r>
      <w:r w:rsidR="004C5846" w:rsidRPr="00D94A7A">
        <w:rPr>
          <w:rFonts w:ascii="Arial" w:hAnsi="Arial"/>
          <w:color w:val="111922"/>
          <w:sz w:val="20"/>
        </w:rPr>
        <w:t>for</w:t>
      </w:r>
      <w:r w:rsidRPr="00D94A7A">
        <w:rPr>
          <w:rFonts w:ascii="Arial" w:hAnsi="Arial"/>
          <w:color w:val="111922"/>
          <w:sz w:val="20"/>
        </w:rPr>
        <w:t xml:space="preserve"> the Board of Directors and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>Supervisory Board in 2024</w:t>
      </w:r>
    </w:p>
    <w:p w14:paraId="0000001F" w14:textId="5AB797E4" w:rsidR="00261C6A" w:rsidRPr="00D94A7A" w:rsidRDefault="00C97832" w:rsidP="009C4E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5"/>
          <w:tab w:val="left" w:pos="432"/>
          <w:tab w:val="left" w:pos="340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Chair of the Board of Directors to: </w:t>
      </w:r>
      <w:r w:rsidRPr="00D94A7A">
        <w:rPr>
          <w:rFonts w:ascii="Arial" w:hAnsi="Arial"/>
          <w:color w:val="111922"/>
          <w:sz w:val="20"/>
        </w:rPr>
        <w:tab/>
        <w:t>VND 5,000,000/person/month;</w:t>
      </w:r>
    </w:p>
    <w:p w14:paraId="00000020" w14:textId="1EC37A12" w:rsidR="00261C6A" w:rsidRPr="00D94A7A" w:rsidRDefault="00C97832" w:rsidP="009C4E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5"/>
          <w:tab w:val="left" w:pos="432"/>
          <w:tab w:val="left" w:pos="340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Member of the Board of Directors: </w:t>
      </w:r>
      <w:r w:rsidRPr="00D94A7A">
        <w:rPr>
          <w:rFonts w:ascii="Arial" w:hAnsi="Arial"/>
          <w:color w:val="111922"/>
          <w:sz w:val="20"/>
        </w:rPr>
        <w:tab/>
        <w:t>VND 3,000,000/person/month;</w:t>
      </w:r>
    </w:p>
    <w:p w14:paraId="00000021" w14:textId="528BCB7B" w:rsidR="00261C6A" w:rsidRPr="00D94A7A" w:rsidRDefault="00C97832" w:rsidP="009C4E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5"/>
          <w:tab w:val="left" w:pos="432"/>
          <w:tab w:val="left" w:pos="340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Chief of the Supervisory Board: </w:t>
      </w:r>
      <w:r w:rsidRPr="00D94A7A">
        <w:rPr>
          <w:rFonts w:ascii="Arial" w:hAnsi="Arial"/>
          <w:color w:val="111922"/>
          <w:sz w:val="20"/>
        </w:rPr>
        <w:tab/>
        <w:t>VND 3,000,000/person/month;</w:t>
      </w:r>
    </w:p>
    <w:p w14:paraId="00000022" w14:textId="1689F1EE" w:rsidR="00261C6A" w:rsidRPr="00D94A7A" w:rsidRDefault="00C97832" w:rsidP="009C4E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5"/>
          <w:tab w:val="left" w:pos="432"/>
          <w:tab w:val="left" w:pos="340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Member of the Supervisory Board: </w:t>
      </w:r>
      <w:r w:rsidRPr="00D94A7A">
        <w:rPr>
          <w:rFonts w:ascii="Arial" w:hAnsi="Arial"/>
          <w:color w:val="111922"/>
          <w:sz w:val="20"/>
        </w:rPr>
        <w:tab/>
        <w:t>VND 2,000,000/person/month;</w:t>
      </w:r>
    </w:p>
    <w:p w14:paraId="00000023" w14:textId="0122327E" w:rsidR="00261C6A" w:rsidRPr="00D94A7A" w:rsidRDefault="00C97832" w:rsidP="009C4E7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5"/>
          <w:tab w:val="left" w:pos="432"/>
          <w:tab w:val="left" w:pos="340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Secretariat of the Board of Directors: </w:t>
      </w:r>
      <w:r w:rsidRPr="00D94A7A">
        <w:rPr>
          <w:rFonts w:ascii="Arial" w:hAnsi="Arial"/>
          <w:color w:val="111922"/>
          <w:sz w:val="20"/>
        </w:rPr>
        <w:tab/>
        <w:t>VND 2,000,000/person/month;</w:t>
      </w:r>
    </w:p>
    <w:p w14:paraId="00000024" w14:textId="419CCDA1" w:rsidR="00261C6A" w:rsidRPr="00D94A7A" w:rsidRDefault="004C5846" w:rsidP="009C4E7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Bonus for the production and business performance</w:t>
      </w:r>
      <w:r w:rsidR="00C97832" w:rsidRPr="00D94A7A">
        <w:rPr>
          <w:rFonts w:ascii="Arial" w:hAnsi="Arial"/>
          <w:color w:val="111922"/>
          <w:sz w:val="20"/>
        </w:rPr>
        <w:t xml:space="preserve"> in 2024</w:t>
      </w:r>
    </w:p>
    <w:p w14:paraId="00000025" w14:textId="0CDFCF1F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Bonus for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 xml:space="preserve">Board of Directors,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 xml:space="preserve">Supervisory Board, and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 xml:space="preserve">Secretariat of the Board of Directors if </w:t>
      </w:r>
      <w:r w:rsidR="004C5846" w:rsidRPr="00D94A7A">
        <w:rPr>
          <w:rFonts w:ascii="Arial" w:hAnsi="Arial"/>
          <w:color w:val="111922"/>
          <w:sz w:val="20"/>
        </w:rPr>
        <w:t>p</w:t>
      </w:r>
      <w:r w:rsidRPr="00D94A7A">
        <w:rPr>
          <w:rFonts w:ascii="Arial" w:hAnsi="Arial"/>
          <w:color w:val="111922"/>
          <w:sz w:val="20"/>
        </w:rPr>
        <w:t xml:space="preserve">rofit before tax reaches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 xml:space="preserve">plan set by </w:t>
      </w:r>
      <w:r w:rsidR="009C4E7E">
        <w:rPr>
          <w:rFonts w:ascii="Arial" w:hAnsi="Arial"/>
          <w:color w:val="111922"/>
          <w:sz w:val="20"/>
        </w:rPr>
        <w:t>General Meeting</w:t>
      </w:r>
      <w:r w:rsidRPr="00D94A7A">
        <w:rPr>
          <w:rFonts w:ascii="Arial" w:hAnsi="Arial"/>
          <w:color w:val="111922"/>
          <w:sz w:val="20"/>
        </w:rPr>
        <w:t xml:space="preserve"> is: 12 months of remuneration/person;</w:t>
      </w:r>
    </w:p>
    <w:p w14:paraId="00000026" w14:textId="4E48E9DB" w:rsidR="00261C6A" w:rsidRPr="00D94A7A" w:rsidRDefault="00C97832" w:rsidP="009C4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And if the profit before tax exceeds the plan set by the </w:t>
      </w:r>
      <w:r w:rsidR="009C4E7E">
        <w:rPr>
          <w:rFonts w:ascii="Arial" w:hAnsi="Arial"/>
          <w:color w:val="111922"/>
          <w:sz w:val="20"/>
        </w:rPr>
        <w:t>General Meeting</w:t>
      </w:r>
      <w:r w:rsidRPr="00D94A7A">
        <w:rPr>
          <w:rFonts w:ascii="Arial" w:hAnsi="Arial"/>
          <w:color w:val="111922"/>
          <w:sz w:val="20"/>
        </w:rPr>
        <w:t xml:space="preserve">, </w:t>
      </w:r>
      <w:r w:rsidR="004C5846" w:rsidRPr="00D94A7A">
        <w:rPr>
          <w:rFonts w:ascii="Arial" w:hAnsi="Arial"/>
          <w:color w:val="111922"/>
          <w:sz w:val="20"/>
        </w:rPr>
        <w:t>bonus</w:t>
      </w:r>
      <w:r w:rsidRPr="00D94A7A">
        <w:rPr>
          <w:rFonts w:ascii="Arial" w:hAnsi="Arial"/>
          <w:color w:val="111922"/>
          <w:sz w:val="20"/>
        </w:rPr>
        <w:t>: 15% of the total profit exceeded the plan (Assign to the Executive Board to distribute).</w:t>
      </w:r>
    </w:p>
    <w:p w14:paraId="00000027" w14:textId="4E701111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Article 6: Approve the Report on activities in 2023, the operating orientation</w:t>
      </w:r>
      <w:r w:rsidR="004C5846" w:rsidRPr="00D94A7A">
        <w:rPr>
          <w:rFonts w:ascii="Arial" w:hAnsi="Arial"/>
          <w:color w:val="111922"/>
          <w:sz w:val="20"/>
        </w:rPr>
        <w:t xml:space="preserve"> </w:t>
      </w:r>
      <w:r w:rsidRPr="00D94A7A">
        <w:rPr>
          <w:rFonts w:ascii="Arial" w:hAnsi="Arial"/>
          <w:color w:val="111922"/>
          <w:sz w:val="20"/>
        </w:rPr>
        <w:t xml:space="preserve">for 2024 and appraisal of </w:t>
      </w:r>
      <w:r w:rsidR="004C5846" w:rsidRPr="00D94A7A">
        <w:rPr>
          <w:rFonts w:ascii="Arial" w:hAnsi="Arial"/>
          <w:color w:val="111922"/>
          <w:sz w:val="20"/>
        </w:rPr>
        <w:t xml:space="preserve">the </w:t>
      </w:r>
      <w:r w:rsidRPr="00D94A7A">
        <w:rPr>
          <w:rFonts w:ascii="Arial" w:hAnsi="Arial"/>
          <w:color w:val="111922"/>
          <w:sz w:val="20"/>
        </w:rPr>
        <w:t>Financial Statements 2023 of the Supervisory Board;</w:t>
      </w:r>
    </w:p>
    <w:p w14:paraId="00000028" w14:textId="7777777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Article 7:  Approve the authorization of the Board of Directors to select an audit company for the Financial Statements 2024;</w:t>
      </w:r>
    </w:p>
    <w:p w14:paraId="00000029" w14:textId="7777777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8: Approve the signing of contracts and transactions between Thanh </w:t>
      </w:r>
      <w:proofErr w:type="spellStart"/>
      <w:r w:rsidRPr="00D94A7A">
        <w:rPr>
          <w:rFonts w:ascii="Arial" w:hAnsi="Arial"/>
          <w:color w:val="111922"/>
          <w:sz w:val="20"/>
        </w:rPr>
        <w:t>Thanh</w:t>
      </w:r>
      <w:proofErr w:type="spellEnd"/>
      <w:r w:rsidRPr="00D94A7A">
        <w:rPr>
          <w:rFonts w:ascii="Arial" w:hAnsi="Arial"/>
          <w:color w:val="111922"/>
          <w:sz w:val="20"/>
        </w:rPr>
        <w:t xml:space="preserve"> Joint Stock Company and FICO Corporation - JSC and units of FICO Corporation - JSC </w:t>
      </w:r>
    </w:p>
    <w:p w14:paraId="0000002A" w14:textId="3C4BA91F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 xml:space="preserve">Article 9: Assign the Board of Directors to be responsible for implementing the contents of the General Mandate of Thanh </w:t>
      </w:r>
      <w:proofErr w:type="spellStart"/>
      <w:r w:rsidRPr="00D94A7A">
        <w:rPr>
          <w:rFonts w:ascii="Arial" w:hAnsi="Arial"/>
          <w:color w:val="111922"/>
          <w:sz w:val="20"/>
        </w:rPr>
        <w:t>Thanh</w:t>
      </w:r>
      <w:proofErr w:type="spellEnd"/>
      <w:r w:rsidRPr="00D94A7A">
        <w:rPr>
          <w:rFonts w:ascii="Arial" w:hAnsi="Arial"/>
          <w:color w:val="111922"/>
          <w:sz w:val="20"/>
        </w:rPr>
        <w:t xml:space="preserve"> Joint Stock Company in 2024 as stated above.</w:t>
      </w:r>
    </w:p>
    <w:p w14:paraId="0000002B" w14:textId="78D807B7" w:rsidR="00261C6A" w:rsidRPr="00D94A7A" w:rsidRDefault="00C97832" w:rsidP="009C4E7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50"/>
        </w:tabs>
        <w:spacing w:after="120" w:line="360" w:lineRule="auto"/>
        <w:jc w:val="both"/>
        <w:rPr>
          <w:rFonts w:ascii="Arial" w:eastAsia="Arial" w:hAnsi="Arial" w:cs="Arial"/>
          <w:color w:val="111922"/>
          <w:sz w:val="20"/>
          <w:szCs w:val="20"/>
        </w:rPr>
      </w:pPr>
      <w:r w:rsidRPr="00D94A7A">
        <w:rPr>
          <w:rFonts w:ascii="Arial" w:hAnsi="Arial"/>
          <w:color w:val="111922"/>
          <w:sz w:val="20"/>
        </w:rPr>
        <w:t>Th</w:t>
      </w:r>
      <w:r w:rsidR="00D94A7A" w:rsidRPr="00D94A7A">
        <w:rPr>
          <w:rFonts w:ascii="Arial" w:hAnsi="Arial"/>
          <w:color w:val="111922"/>
          <w:sz w:val="20"/>
        </w:rPr>
        <w:t>is</w:t>
      </w:r>
      <w:r w:rsidRPr="00D94A7A">
        <w:rPr>
          <w:rFonts w:ascii="Arial" w:hAnsi="Arial"/>
          <w:color w:val="111922"/>
          <w:sz w:val="20"/>
        </w:rPr>
        <w:t xml:space="preserve"> General Mandate takes effect from April 17, 2024</w:t>
      </w:r>
      <w:r w:rsidR="00D94A7A" w:rsidRPr="00D94A7A">
        <w:rPr>
          <w:rFonts w:ascii="Arial" w:hAnsi="Arial"/>
          <w:color w:val="111922"/>
          <w:sz w:val="20"/>
        </w:rPr>
        <w:t>. T</w:t>
      </w:r>
      <w:r w:rsidRPr="00D94A7A">
        <w:rPr>
          <w:rFonts w:ascii="Arial" w:hAnsi="Arial"/>
          <w:color w:val="111922"/>
          <w:sz w:val="20"/>
        </w:rPr>
        <w:t>he Board of Direct</w:t>
      </w:r>
      <w:r w:rsidR="009C4E7E">
        <w:rPr>
          <w:rFonts w:ascii="Arial" w:hAnsi="Arial"/>
          <w:color w:val="111922"/>
          <w:sz w:val="20"/>
        </w:rPr>
        <w:t xml:space="preserve">ors, </w:t>
      </w:r>
      <w:bookmarkStart w:id="0" w:name="_GoBack"/>
      <w:bookmarkEnd w:id="0"/>
      <w:r w:rsidR="009C4E7E">
        <w:rPr>
          <w:rFonts w:ascii="Arial" w:hAnsi="Arial"/>
          <w:color w:val="111922"/>
          <w:sz w:val="20"/>
        </w:rPr>
        <w:t xml:space="preserve">Supervisory Board, </w:t>
      </w:r>
      <w:r w:rsidRPr="00D94A7A">
        <w:rPr>
          <w:rFonts w:ascii="Arial" w:hAnsi="Arial"/>
          <w:color w:val="111922"/>
          <w:sz w:val="20"/>
        </w:rPr>
        <w:t xml:space="preserve">Executive Board and all shareholders of Thanh </w:t>
      </w:r>
      <w:proofErr w:type="spellStart"/>
      <w:r w:rsidRPr="00D94A7A">
        <w:rPr>
          <w:rFonts w:ascii="Arial" w:hAnsi="Arial"/>
          <w:color w:val="111922"/>
          <w:sz w:val="20"/>
        </w:rPr>
        <w:t>Thanh</w:t>
      </w:r>
      <w:proofErr w:type="spellEnd"/>
      <w:r w:rsidRPr="00D94A7A">
        <w:rPr>
          <w:rFonts w:ascii="Arial" w:hAnsi="Arial"/>
          <w:color w:val="111922"/>
          <w:sz w:val="20"/>
        </w:rPr>
        <w:t xml:space="preserve"> Joint Stock Company are responsible for implementing this General Mandate.</w:t>
      </w:r>
    </w:p>
    <w:sectPr w:rsidR="00261C6A" w:rsidRPr="00D94A7A" w:rsidSect="004D014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BD"/>
    <w:multiLevelType w:val="multilevel"/>
    <w:tmpl w:val="D55E114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11922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6B0C56"/>
    <w:multiLevelType w:val="multilevel"/>
    <w:tmpl w:val="5980036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11922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B91EAF"/>
    <w:multiLevelType w:val="hybridMultilevel"/>
    <w:tmpl w:val="84F66642"/>
    <w:lvl w:ilvl="0" w:tplc="B6EE8198">
      <w:numFmt w:val="bullet"/>
      <w:lvlText w:val="+"/>
      <w:lvlJc w:val="left"/>
      <w:pPr>
        <w:ind w:left="720" w:hanging="360"/>
      </w:pPr>
      <w:rPr>
        <w:rFonts w:ascii="Arial" w:eastAsia="Courier New" w:hAnsi="Arial" w:hint="default"/>
        <w:b w:val="0"/>
        <w:i w:val="0"/>
        <w:sz w:val="20"/>
      </w:rPr>
    </w:lvl>
    <w:lvl w:ilvl="1" w:tplc="922AE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51187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2A6D"/>
    <w:multiLevelType w:val="multilevel"/>
    <w:tmpl w:val="F048A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0353E"/>
        <w:sz w:val="20"/>
        <w:szCs w:val="17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8C44C2"/>
    <w:multiLevelType w:val="multilevel"/>
    <w:tmpl w:val="7856F13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11922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66930BD"/>
    <w:multiLevelType w:val="hybridMultilevel"/>
    <w:tmpl w:val="97504A3A"/>
    <w:lvl w:ilvl="0" w:tplc="D5DC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4D402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F2486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1690B"/>
    <w:multiLevelType w:val="hybridMultilevel"/>
    <w:tmpl w:val="ECE47CDA"/>
    <w:lvl w:ilvl="0" w:tplc="7F82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A9C4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4BBCE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065B"/>
    <w:multiLevelType w:val="hybridMultilevel"/>
    <w:tmpl w:val="01A8D9DA"/>
    <w:lvl w:ilvl="0" w:tplc="B94E71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C62F730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2CA636C2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6A"/>
    <w:rsid w:val="00261C6A"/>
    <w:rsid w:val="004C5846"/>
    <w:rsid w:val="004D014C"/>
    <w:rsid w:val="009C4E7E"/>
    <w:rsid w:val="00C97832"/>
    <w:rsid w:val="00D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51AB"/>
  <w15:docId w15:val="{334DB4EC-1FF3-47F9-A3DA-405F9AC9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922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922"/>
      <w:sz w:val="28"/>
      <w:szCs w:val="2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9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53E"/>
      <w:sz w:val="17"/>
      <w:szCs w:val="17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left="2490"/>
    </w:pPr>
    <w:rPr>
      <w:rFonts w:ascii="Times New Roman" w:eastAsia="Times New Roman" w:hAnsi="Times New Roman" w:cs="Times New Roman"/>
      <w:b/>
      <w:bCs/>
      <w:color w:val="111922"/>
      <w:sz w:val="20"/>
      <w:szCs w:val="20"/>
    </w:rPr>
  </w:style>
  <w:style w:type="paragraph" w:customStyle="1" w:styleId="Bodytext40">
    <w:name w:val="Body text (4)"/>
    <w:basedOn w:val="Normal"/>
    <w:link w:val="Bodytext4"/>
    <w:pPr>
      <w:ind w:left="5560"/>
    </w:pPr>
    <w:rPr>
      <w:rFonts w:ascii="Times New Roman" w:eastAsia="Times New Roman" w:hAnsi="Times New Roman" w:cs="Times New Roman"/>
      <w:b/>
      <w:bCs/>
      <w:color w:val="111922"/>
      <w:sz w:val="28"/>
      <w:szCs w:val="28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111922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ind w:left="2140"/>
    </w:pPr>
    <w:rPr>
      <w:rFonts w:ascii="Times New Roman" w:eastAsia="Times New Roman" w:hAnsi="Times New Roman" w:cs="Times New Roman"/>
      <w:color w:val="30353E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9HIat2l67nGtPsF3k34ARFk5MQ==">CgMxLjA4AHIhMUoxdlZmZ29hTG1ucFZDQ1otQ2FpNmdtdW1PSkNQVkJD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2024-05-03T12:16:00Z</dcterms:created>
  <dcterms:modified xsi:type="dcterms:W3CDTF">2024-05-03T12:16:00Z</dcterms:modified>
</cp:coreProperties>
</file>