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VC9:</w:t>
      </w:r>
      <w:r>
        <w:rPr>
          <w:rFonts w:ascii="Arial" w:hAnsi="Arial"/>
          <w:b/>
          <w:sz w:val="20"/>
        </w:rPr>
        <w:t xml:space="preserve"> Annual General Mandate 2024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April 22, 2024, VC9 – No 9 Construction Join Stock Company announced General Mandate No. 02/2024/NQ-DHDCD on approving issues under the authority of the General Meeting of Shareholders as follows:</w:t>
      </w:r>
      <w:r>
        <w:rPr>
          <w:rFonts w:ascii="Arial" w:hAnsi="Arial"/>
          <w:sz w:val="20"/>
        </w:rPr>
        <w:t xml:space="preserve"> 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1. </w:t>
      </w:r>
      <w:r>
        <w:rPr>
          <w:rFonts w:ascii="Arial" w:hAnsi="Arial"/>
          <w:sz w:val="20"/>
        </w:rPr>
        <w:t>Approve the Report of the Board of Directors of VC9 – No 9 Construction Join Stock Company and the Board of management on activities in 2023 and plan for 2024</w:t>
      </w:r>
    </w:p>
    <w:p w:rsidR="00BD1608" w:rsidRDefault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 Realized</w:t>
      </w:r>
      <w:r>
        <w:rPr>
          <w:rFonts w:ascii="Arial" w:hAnsi="Arial"/>
          <w:sz w:val="20"/>
        </w:rPr>
        <w:t xml:space="preserve"> results of 2023:</w:t>
      </w:r>
    </w:p>
    <w:p w:rsidR="00BD1608" w:rsidRDefault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Results 2023 compared to that of 2022</w:t>
      </w:r>
    </w:p>
    <w:p w:rsidR="00BD1608" w:rsidRDefault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Unit: Billion VND</w:t>
      </w: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747"/>
        <w:gridCol w:w="2770"/>
        <w:gridCol w:w="1933"/>
        <w:gridCol w:w="1819"/>
        <w:gridCol w:w="1747"/>
      </w:tblGrid>
      <w:tr w:rsidR="00BD1608">
        <w:trPr>
          <w:trHeight w:val="5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 increase/decrease</w:t>
            </w:r>
          </w:p>
        </w:tc>
      </w:tr>
      <w:tr w:rsidR="00BD1608">
        <w:trPr>
          <w:trHeight w:val="52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assets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1,185.953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996.283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-15.99%</w:t>
            </w:r>
          </w:p>
        </w:tc>
      </w:tr>
      <w:tr w:rsidR="00BD1608">
        <w:trPr>
          <w:trHeight w:val="53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Owners’ equity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11.419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63.640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457.32%</w:t>
            </w:r>
          </w:p>
        </w:tc>
      </w:tr>
      <w:tr w:rsidR="00BD1608">
        <w:trPr>
          <w:trHeight w:val="52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Net revenue: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394.025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268.465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-31.87%</w:t>
            </w:r>
          </w:p>
        </w:tc>
      </w:tr>
      <w:tr w:rsidR="00BD1608">
        <w:trPr>
          <w:trHeight w:val="52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before tax: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1.853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1.396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-24.66%</w:t>
            </w:r>
          </w:p>
        </w:tc>
      </w:tr>
      <w:tr w:rsidR="00BD1608">
        <w:trPr>
          <w:trHeight w:val="5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1.853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1.396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-24.66%</w:t>
            </w:r>
          </w:p>
        </w:tc>
      </w:tr>
    </w:tbl>
    <w:p w:rsidR="00BD1608" w:rsidRDefault="00040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Production and business plan for 2024</w:t>
      </w: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802"/>
        <w:gridCol w:w="5527"/>
        <w:gridCol w:w="2687"/>
      </w:tblGrid>
      <w:tr w:rsidR="00BD1608">
        <w:trPr>
          <w:trHeight w:val="57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2024</w:t>
            </w:r>
          </w:p>
        </w:tc>
      </w:tr>
      <w:tr w:rsidR="00BD1608">
        <w:trPr>
          <w:trHeight w:val="5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revenue (billion VND)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500.071</w:t>
            </w:r>
          </w:p>
        </w:tc>
      </w:tr>
      <w:tr w:rsidR="00BD1608">
        <w:trPr>
          <w:trHeight w:val="58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tax (billion VND)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1.641</w:t>
            </w:r>
          </w:p>
        </w:tc>
      </w:tr>
    </w:tbl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tabs>
          <w:tab w:val="left" w:pos="4640"/>
          <w:tab w:val="left" w:pos="6394"/>
          <w:tab w:val="left" w:pos="6858"/>
          <w:tab w:val="left" w:pos="756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2. Approve the Report on activities of the Supervisory Board of the Company in 2023.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3. </w:t>
      </w:r>
      <w:r>
        <w:rPr>
          <w:rFonts w:ascii="Arial" w:hAnsi="Arial"/>
          <w:sz w:val="20"/>
        </w:rPr>
        <w:t>Approve the selection of an independent audit company to audit the Company's Financial Statements 2024</w:t>
      </w:r>
      <w:r>
        <w:rPr>
          <w:rFonts w:ascii="Arial" w:hAnsi="Arial"/>
          <w:sz w:val="20"/>
        </w:rPr>
        <w:t xml:space="preserve"> 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4. Approve the Audited Financial Statements of 2023 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5. </w:t>
      </w:r>
      <w:r>
        <w:rPr>
          <w:rFonts w:ascii="Arial" w:hAnsi="Arial"/>
          <w:sz w:val="20"/>
        </w:rPr>
        <w:t xml:space="preserve">Approve the Audited Report on the use of capital from the private stock offering for investors to increase charter capital from VND 120 billion to VND 170 billion </w:t>
      </w:r>
    </w:p>
    <w:p w:rsidR="00BD1608" w:rsidRDefault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6. Approve the plan on profit distribution 2023.</w:t>
      </w:r>
    </w:p>
    <w:p w:rsidR="00BD1608" w:rsidRDefault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Plan on profit distribution in 20</w:t>
      </w:r>
      <w:r>
        <w:rPr>
          <w:rFonts w:ascii="Arial" w:hAnsi="Arial"/>
          <w:sz w:val="20"/>
        </w:rPr>
        <w:t>23;</w:t>
      </w:r>
    </w:p>
    <w:tbl>
      <w:tblPr>
        <w:tblStyle w:val="a1"/>
        <w:tblW w:w="8817" w:type="dxa"/>
        <w:tblLayout w:type="fixed"/>
        <w:tblLook w:val="0400" w:firstRow="0" w:lastRow="0" w:firstColumn="0" w:lastColumn="0" w:noHBand="0" w:noVBand="1"/>
      </w:tblPr>
      <w:tblGrid>
        <w:gridCol w:w="580"/>
        <w:gridCol w:w="4309"/>
        <w:gridCol w:w="1397"/>
        <w:gridCol w:w="2531"/>
      </w:tblGrid>
      <w:tr w:rsidR="00BD1608">
        <w:trPr>
          <w:trHeight w:val="7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Results 2023 </w:t>
            </w:r>
          </w:p>
        </w:tc>
      </w:tr>
      <w:tr w:rsidR="00BD1608">
        <w:trPr>
          <w:trHeight w:val="59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 from sales of goods and services provision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268,465,172,567</w:t>
            </w:r>
          </w:p>
        </w:tc>
      </w:tr>
      <w:tr w:rsidR="00BD1608">
        <w:trPr>
          <w:trHeight w:val="5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profit before tax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1,396,164,116</w:t>
            </w:r>
          </w:p>
        </w:tc>
      </w:tr>
      <w:tr w:rsidR="00BD1608">
        <w:trPr>
          <w:trHeight w:val="5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after corporate income tax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1,396,164,116</w:t>
            </w:r>
          </w:p>
        </w:tc>
      </w:tr>
      <w:tr w:rsidR="00BD1608">
        <w:trPr>
          <w:trHeight w:val="5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 in 2023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D1608">
        <w:trPr>
          <w:trHeight w:val="5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Profit transferred to the next year: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VND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1,396,164,116</w:t>
            </w:r>
          </w:p>
        </w:tc>
      </w:tr>
      <w:tr w:rsidR="00BD1608">
        <w:trPr>
          <w:trHeight w:val="6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Dividend/profit rate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D1608" w:rsidRDefault="0004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0%</w:t>
            </w:r>
          </w:p>
        </w:tc>
      </w:tr>
    </w:tbl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7. </w:t>
      </w:r>
      <w:r>
        <w:rPr>
          <w:rFonts w:ascii="Arial" w:hAnsi="Arial"/>
          <w:sz w:val="20"/>
        </w:rPr>
        <w:t>Approve the Plan on salary and remuneration payment for the Board of Directors, the Supervisory Board in 2023 and plan for 2024.</w:t>
      </w:r>
      <w:r>
        <w:rPr>
          <w:rFonts w:ascii="Arial" w:hAnsi="Arial"/>
          <w:sz w:val="20"/>
        </w:rPr>
        <w:t xml:space="preserve"> 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8. </w:t>
      </w:r>
      <w:r>
        <w:rPr>
          <w:rFonts w:ascii="Arial" w:hAnsi="Arial"/>
          <w:sz w:val="20"/>
        </w:rPr>
        <w:t>Approve the dismissal of Mr. Nguyen Dai Thu from the position of independent member of the Board of Directors from the effective date of this General Mandate.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Assign the Executive Board</w:t>
      </w:r>
      <w:r>
        <w:rPr>
          <w:rFonts w:ascii="Arial" w:hAnsi="Arial"/>
          <w:sz w:val="20"/>
        </w:rPr>
        <w:t xml:space="preserve"> of the Company to consider and resolve issues of rights and regime</w:t>
      </w:r>
      <w:r>
        <w:rPr>
          <w:rFonts w:ascii="Arial" w:hAnsi="Arial"/>
          <w:sz w:val="20"/>
        </w:rPr>
        <w:t>s of Mr. Nguyen Dai Thu in accordance with the Company's regulations and relevant laws.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9. Approve the adjustment of the number of Board of Directors members for the remaining period of the 2020 - 2025 term to 04 members.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10. </w:t>
      </w:r>
      <w:r>
        <w:rPr>
          <w:rFonts w:ascii="Arial" w:hAnsi="Arial"/>
          <w:sz w:val="20"/>
        </w:rPr>
        <w:t xml:space="preserve">Elect the following </w:t>
      </w:r>
      <w:proofErr w:type="spellStart"/>
      <w:r>
        <w:rPr>
          <w:rFonts w:ascii="Arial" w:hAnsi="Arial"/>
          <w:sz w:val="20"/>
        </w:rPr>
        <w:t>Mr</w:t>
      </w:r>
      <w:proofErr w:type="spellEnd"/>
      <w:r>
        <w:rPr>
          <w:rFonts w:ascii="Arial" w:hAnsi="Arial"/>
          <w:sz w:val="20"/>
        </w:rPr>
        <w:t>/Ms. as an additional member of the Board of Directors of the Company.</w:t>
      </w:r>
    </w:p>
    <w:p w:rsidR="00BD1608" w:rsidRDefault="00040E79" w:rsidP="00040E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Mr. Vu Duc Cuong - Member of the Board of Directors.</w:t>
      </w:r>
    </w:p>
    <w:p w:rsidR="00BD1608" w:rsidRDefault="00040E79" w:rsidP="00040E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54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Mr. Nguyen Viet Cuong </w:t>
      </w:r>
      <w:bookmarkStart w:id="0" w:name="_GoBack"/>
      <w:bookmarkEnd w:id="0"/>
      <w:r>
        <w:rPr>
          <w:rFonts w:ascii="Arial" w:hAnsi="Arial"/>
          <w:sz w:val="20"/>
        </w:rPr>
        <w:t>- Independent member of the Board of Directors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term of new members of the Board of Directors follows the remaining term of the Board of Directors (2020 - 2025)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11. This General Mandate takes effect from the date of its signing.</w:t>
      </w:r>
    </w:p>
    <w:p w:rsidR="00BD1608" w:rsidRDefault="00040E79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  <w:sectPr w:rsidR="00BD1608">
          <w:pgSz w:w="11906" w:h="16838"/>
          <w:pgMar w:top="1440" w:right="1440" w:bottom="1440" w:left="1440" w:header="0" w:footer="3" w:gutter="0"/>
          <w:pgNumType w:start="1"/>
          <w:cols w:space="720"/>
        </w:sectPr>
      </w:pPr>
      <w:r>
        <w:rPr>
          <w:rFonts w:ascii="Arial" w:hAnsi="Arial"/>
          <w:sz w:val="20"/>
        </w:rPr>
        <w:t>The Board of Directors, Executive Board</w:t>
      </w:r>
      <w:r>
        <w:rPr>
          <w:rFonts w:ascii="Arial" w:hAnsi="Arial"/>
          <w:sz w:val="20"/>
        </w:rPr>
        <w:t xml:space="preserve"> of the Company and relevant individuals are responsible for the implementation of this General Mandate.</w:t>
      </w:r>
    </w:p>
    <w:p w:rsidR="00BD1608" w:rsidRDefault="00BD1608" w:rsidP="00040E7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D1608">
      <w:type w:val="continuous"/>
      <w:pgSz w:w="11906" w:h="16838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7042"/>
    <w:multiLevelType w:val="multilevel"/>
    <w:tmpl w:val="C98CAE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01BE"/>
    <w:multiLevelType w:val="multilevel"/>
    <w:tmpl w:val="26F4C1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08"/>
    <w:rsid w:val="00040E79"/>
    <w:rsid w:val="00B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04E1"/>
  <w15:docId w15:val="{5DDF2F80-2F96-4705-82BB-7B0F7C6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color w:val="D0294F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0294F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180" w:lineRule="auto"/>
      <w:jc w:val="right"/>
    </w:pPr>
    <w:rPr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3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10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i/>
      <w:iCs/>
      <w:color w:val="D0294F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D0294F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dUyv6dE4mVDEyau/8iN4aWPgXA==">CgMxLjA4AHIhMTdEeTBHdGJqOTZ0emltRXZpYmxaVG4tVEJnc1pPbTdi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2024-05-03T12:22:00Z</dcterms:created>
  <dcterms:modified xsi:type="dcterms:W3CDTF">2024-05-03T12:22:00Z</dcterms:modified>
</cp:coreProperties>
</file>