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32"/>
        </w:tabs>
        <w:spacing w:after="120" w:line="360" w:lineRule="auto"/>
        <w:rPr>
          <w:b w:val="1"/>
          <w:color w:val="010000"/>
          <w:sz w:val="20"/>
          <w:szCs w:val="20"/>
          <w:rFonts w:ascii="Arial" w:cs="Arial" w:eastAsia="Arial" w:hAnsi="Arial"/>
        </w:rPr>
      </w:pPr>
      <w:r>
        <w:rPr>
          <w:b w:val="1"/>
          <w:color w:val="010000"/>
          <w:sz w:val="20"/>
          <w:rtl w:val="0"/>
          <w:rFonts w:ascii="Arial" w:hAnsi="Arial"/>
        </w:rPr>
        <w:t xml:space="preserve">VCT:</w:t>
      </w:r>
      <w:r>
        <w:rPr>
          <w:b w:val="1"/>
          <w:color w:val="010000"/>
          <w:sz w:val="20"/>
          <w:rtl w:val="0"/>
          <w:rFonts w:ascii="Arial" w:hAnsi="Arial"/>
        </w:rPr>
        <w:t xml:space="preserve"> </w:t>
      </w:r>
      <w:r>
        <w:rPr>
          <w:b w:val="1"/>
          <w:color w:val="010000"/>
          <w:sz w:val="20"/>
          <w:rtl w:val="0"/>
          <w:rFonts w:ascii="Arial" w:hAnsi="Arial"/>
        </w:rPr>
        <w:t xml:space="preserve">Annual General Mandate 2024</w:t>
      </w:r>
    </w:p>
    <w:p w:rsidR="00000000" w:rsidDel="00000000" w:rsidP="00000000" w:rsidRDefault="00000000" w:rsidRPr="00000000" w14:paraId="00000002">
      <w:pPr>
        <w:tabs>
          <w:tab w:val="left" w:leader="none" w:pos="432"/>
        </w:tabs>
        <w:spacing w:after="120" w:line="360" w:lineRule="auto"/>
        <w:rPr>
          <w:b w:val="1"/>
          <w:color w:val="010000"/>
          <w:sz w:val="20"/>
          <w:szCs w:val="20"/>
          <w:rFonts w:ascii="Arial" w:cs="Arial" w:eastAsia="Arial" w:hAnsi="Arial"/>
        </w:rPr>
      </w:pPr>
      <w:r>
        <w:rPr>
          <w:color w:val="010000"/>
          <w:sz w:val="20"/>
          <w:rtl w:val="0"/>
          <w:rFonts w:ascii="Arial" w:hAnsi="Arial"/>
        </w:rPr>
        <w:t xml:space="preserve">On April 25, 2024, Vinaconex's Construct Consultant JSC announced General Mandate No. 01/2024/NQ-DHDCD as follows:</w:t>
      </w:r>
    </w:p>
    <w:p w:rsidR="00000000" w:rsidDel="00000000" w:rsidP="00000000" w:rsidRDefault="00000000" w:rsidRPr="00000000" w14:paraId="00000003">
      <w:pPr>
        <w:tabs>
          <w:tab w:val="left" w:leader="none" w:pos="432"/>
        </w:tabs>
        <w:spacing w:after="120" w:line="360" w:lineRule="auto"/>
        <w:rPr>
          <w:color w:val="010000"/>
          <w:sz w:val="20"/>
          <w:szCs w:val="20"/>
          <w:rFonts w:ascii="Arial" w:cs="Arial" w:eastAsia="Arial" w:hAnsi="Arial"/>
        </w:rPr>
      </w:pPr>
      <w:r>
        <w:rPr>
          <w:color w:val="010000"/>
          <w:sz w:val="20"/>
          <w:rtl w:val="0"/>
          <w:rFonts w:ascii="Arial" w:hAnsi="Arial"/>
        </w:rPr>
        <w:t xml:space="preserve">Article 1:</w:t>
      </w:r>
      <w:r>
        <w:rPr>
          <w:color w:val="010000"/>
          <w:sz w:val="20"/>
          <w:rtl w:val="0"/>
          <w:rFonts w:ascii="Arial" w:hAnsi="Arial"/>
        </w:rPr>
        <w:t xml:space="preserve"> </w:t>
      </w:r>
      <w:r>
        <w:rPr>
          <w:color w:val="010000"/>
          <w:sz w:val="20"/>
          <w:rtl w:val="0"/>
          <w:rFonts w:ascii="Arial" w:hAnsi="Arial"/>
        </w:rPr>
        <w:t xml:space="preserve">Approve the production and business results in 2023 and the Plan for 2024 of Vinaconex's Construct Consultant JSC according to the Report dated March 29, 2024, by the Board of Management of the Company with some main indicators as follows:</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Business results in 2023:</w:t>
      </w:r>
    </w:p>
    <w:tbl>
      <w:tblPr>
        <w:tblStyle w:val="Table1"/>
        <w:tblW w:w="9017.0" w:type="dxa"/>
        <w:jc w:val="left"/>
        <w:tblLayout w:type="fixed"/>
        <w:tblLook w:val="0400"/>
      </w:tblPr>
      <w:tblGrid>
        <w:gridCol w:w="1980"/>
        <w:gridCol w:w="673"/>
        <w:gridCol w:w="1055"/>
        <w:gridCol w:w="1057"/>
        <w:gridCol w:w="1060"/>
        <w:gridCol w:w="1055"/>
        <w:gridCol w:w="1055"/>
        <w:gridCol w:w="1082"/>
        <w:tblGridChange w:id="0">
          <w:tblGrid>
            <w:gridCol w:w="1980"/>
            <w:gridCol w:w="673"/>
            <w:gridCol w:w="1055"/>
            <w:gridCol w:w="1057"/>
            <w:gridCol w:w="1060"/>
            <w:gridCol w:w="1055"/>
            <w:gridCol w:w="1055"/>
            <w:gridCol w:w="1082"/>
          </w:tblGrid>
        </w:tblGridChange>
      </w:tblGrid>
      <w:tr>
        <w:trPr>
          <w:cantSplit w:val="0"/>
          <w:tblHeader w:val="0"/>
        </w:trPr>
        <w:tc>
          <w:tcPr>
            <w:vMerge w:val="restart"/>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Main targets</w:t>
            </w:r>
          </w:p>
        </w:tc>
        <w:tc>
          <w:tcPr>
            <w:vMerge w:val="restart"/>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Unit</w:t>
            </w:r>
          </w:p>
        </w:tc>
        <w:tc>
          <w:tcPr>
            <w:gridSpan w:val="2"/>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Plan 2023</w:t>
            </w:r>
          </w:p>
        </w:tc>
        <w:tc>
          <w:tcPr>
            <w:gridSpan w:val="2"/>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Results 2023</w:t>
            </w:r>
          </w:p>
        </w:tc>
        <w:tc>
          <w:tcPr>
            <w:gridSpan w:val="2"/>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 Completion</w:t>
            </w:r>
          </w:p>
        </w:tc>
      </w:tr>
      <w:tr>
        <w:trPr>
          <w:cantSplit w:val="0"/>
          <w:tblHeader w:val="0"/>
        </w:trPr>
        <w:tc>
          <w:tcPr>
            <w:vMerge w:val="continue"/>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Vinaconsult</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Consolidated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Vinaconsult</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Consolidated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Vinaconsult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Consolidated (%)</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Total output</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14,148.59</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14,148.59</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10,359.25</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10,359.25</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73.3%</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73.3%</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Total revenue:</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13,126.36</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13,126.36</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9,962.62</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9,962.62</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75.7%</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75.7%</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Consulting activities</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12,826.36</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12,826.36</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9,493.22</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9,493.22</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74.1%</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74.7%</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 Other revenue</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4">
            <w:pPr>
              <w:tabs>
                <w:tab w:val="left" w:leader="none" w:pos="432"/>
              </w:tabs>
              <w:spacing w:after="120" w:line="360" w:lineRule="auto"/>
              <w:jc w:val="center"/>
              <w:rPr>
                <w:rFonts w:ascii="Arial" w:cs="Arial" w:eastAsia="Arial" w:hAnsi="Arial"/>
                <w:color w:val="01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35">
            <w:pPr>
              <w:tabs>
                <w:tab w:val="left" w:leader="none" w:pos="432"/>
              </w:tabs>
              <w:spacing w:after="120" w:line="360" w:lineRule="auto"/>
              <w:jc w:val="center"/>
              <w:rPr>
                <w:rFonts w:ascii="Arial" w:cs="Arial" w:eastAsia="Arial" w:hAnsi="Arial"/>
                <w:color w:val="01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 Financial activities</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300.00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300.00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439.40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439.40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146.5%</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746.5%</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State budget contribution (paid)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1,100.00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1,100.00</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1,460.17</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1,460.17</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132.7%</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132.7%</w:t>
            </w:r>
          </w:p>
        </w:tc>
      </w:tr>
      <w:tr>
        <w:trPr>
          <w:cantSplit w:val="0"/>
          <w:tblHeader w:val="0"/>
        </w:trPr>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 Profit before tax</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1,793.45</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1,793.45</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451.68</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451.68</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25.18%</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25.18%</w:t>
            </w:r>
          </w:p>
        </w:tc>
      </w:tr>
      <w:tr>
        <w:trPr>
          <w:cantSplit w:val="0"/>
          <w:trHeight w:val="940" w:hRule="atLeast"/>
          <w:tblHeader w:val="0"/>
        </w:trPr>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5.Average income/person/month</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VND/person/month</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15.70</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15.70</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13.36</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13.36</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95.2%</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95.2%</w:t>
            </w:r>
          </w:p>
        </w:tc>
      </w:tr>
    </w:tbl>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Production and business plan for 2024:</w:t>
      </w:r>
    </w:p>
    <w:tbl>
      <w:tblPr>
        <w:tblStyle w:val="Table2"/>
        <w:tblW w:w="9017.0" w:type="dxa"/>
        <w:jc w:val="left"/>
        <w:tblLayout w:type="fixed"/>
        <w:tblLook w:val="0400"/>
      </w:tblPr>
      <w:tblGrid>
        <w:gridCol w:w="2846"/>
        <w:gridCol w:w="835"/>
        <w:gridCol w:w="1362"/>
        <w:gridCol w:w="1255"/>
        <w:gridCol w:w="1356"/>
        <w:gridCol w:w="1363"/>
        <w:tblGridChange w:id="0">
          <w:tblGrid>
            <w:gridCol w:w="2846"/>
            <w:gridCol w:w="835"/>
            <w:gridCol w:w="1362"/>
            <w:gridCol w:w="1255"/>
            <w:gridCol w:w="1356"/>
            <w:gridCol w:w="1363"/>
          </w:tblGrid>
        </w:tblGridChange>
      </w:tblGrid>
      <w:tr>
        <w:trPr>
          <w:cantSplit w:val="0"/>
          <w:tblHeader w:val="0"/>
        </w:trPr>
        <w:tc>
          <w:tcPr>
            <w:vMerge w:val="restart"/>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Main targets</w:t>
            </w:r>
          </w:p>
        </w:tc>
        <w:tc>
          <w:tcPr>
            <w:vMerge w:val="restart"/>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Unit</w:t>
            </w:r>
          </w:p>
        </w:tc>
        <w:tc>
          <w:tcPr>
            <w:gridSpan w:val="2"/>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Holding Company</w:t>
            </w:r>
          </w:p>
        </w:tc>
        <w:tc>
          <w:tcPr>
            <w:gridSpan w:val="2"/>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Consolidated</w:t>
            </w:r>
          </w:p>
        </w:tc>
      </w:tr>
      <w:tr>
        <w:trPr>
          <w:cantSplit w:val="0"/>
          <w:tblHeader w:val="0"/>
        </w:trPr>
        <w:tc>
          <w:tcPr>
            <w:vMerge w:val="continue"/>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Results 2023</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Plan 2024</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Results 2023</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Plan 2024</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Total output</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10,359.25</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14,436.51</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10,359.25</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14,436.51</w:t>
            </w:r>
          </w:p>
        </w:tc>
      </w:tr>
      <w:tr>
        <w:trPr>
          <w:cantSplit w:val="0"/>
          <w:tblHeader w:val="0"/>
        </w:trPr>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Total revenue:</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9,962.628</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13,690.91</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9,962.628</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13,690.91</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Consulting activities</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9,493.228</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13,360.91</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9,493.228</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13,360.91</w:t>
            </w:r>
          </w:p>
        </w:tc>
      </w:tr>
      <w:tr>
        <w:trPr>
          <w:cantSplit w:val="0"/>
          <w:tblHeader w:val="0"/>
        </w:trPr>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 Other revenue</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60.0</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60.0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 Financial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439.4</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300.0</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439.4</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3</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Payable to the State budget</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1,460.174</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1,300</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1,460.174</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cente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1,300</w:t>
            </w:r>
          </w:p>
        </w:tc>
      </w:tr>
      <w:tr>
        <w:trPr>
          <w:cantSplit w:val="0"/>
          <w:tblHeader w:val="0"/>
        </w:trPr>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 Profit before tax</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451.683</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righ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631.865</w:t>
            </w:r>
          </w:p>
        </w:tc>
        <w:tc>
          <w:tcPr>
            <w:tcBorders>
              <w:top w:color="000000" w:space="0" w:sz="4" w:val="single"/>
              <w:left w:color="000000" w:space="0" w:sz="4" w:val="single"/>
            </w:tcBorders>
            <w:shd w:fill="auto" w:val="clear"/>
            <w:tcMar>
              <w:top w:w="0.0" w:type="dxa"/>
              <w:bottom w:w="0.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righ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451.683</w:t>
            </w:r>
          </w:p>
        </w:tc>
        <w:tc>
          <w:tcPr>
            <w:tcBorders>
              <w:top w:color="000000" w:space="0" w:sz="4" w:val="single"/>
              <w:left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righ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631.865</w:t>
            </w:r>
          </w:p>
        </w:tc>
      </w:tr>
      <w:tr>
        <w:trPr>
          <w:cantSplit w:val="0"/>
          <w:tblHeader w:val="0"/>
        </w:trPr>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5.Average income/person/month</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13.3</w:t>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90">
            <w:pPr>
              <w:tabs>
                <w:tab w:val="left" w:leader="none" w:pos="432"/>
              </w:tabs>
              <w:spacing w:after="120" w:line="360" w:lineRule="auto"/>
              <w:rPr>
                <w:rFonts w:ascii="Arial" w:cs="Arial" w:eastAsia="Arial" w:hAnsi="Arial"/>
                <w:color w:val="01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righ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13.3</w:t>
            </w:r>
          </w:p>
        </w:tc>
        <w:tc>
          <w:tcPr>
            <w:tcBorders>
              <w:top w:color="000000" w:space="0" w:sz="4" w:val="single"/>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092">
            <w:pPr>
              <w:tabs>
                <w:tab w:val="left" w:leader="none" w:pos="432"/>
              </w:tabs>
              <w:spacing w:after="120" w:line="360" w:lineRule="auto"/>
              <w:rPr>
                <w:rFonts w:ascii="Arial" w:cs="Arial" w:eastAsia="Arial" w:hAnsi="Arial"/>
                <w:color w:val="010000"/>
                <w:sz w:val="20"/>
                <w:szCs w:val="20"/>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Article </w:t>
      </w:r>
      <w:r>
        <w:rPr>
          <w:color w:val="010000"/>
          <w:sz w:val="20"/>
          <w:rtl w:val="0"/>
          <w:b w:val="0"/>
          <w:i w:val="0"/>
          <w:smallCaps w:val="0"/>
          <w:strike w:val="0"/>
          <w:u w:val="none"/>
          <w:shd w:fill="auto" w:val="clear"/>
          <w:vertAlign w:val="baseline"/>
          <w:rFonts w:ascii="Arial" w:hAnsi="Arial"/>
        </w:rPr>
        <w:t xml:space="preserve"> 2:</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Approve the separate and consolidated Financial Statements for 2023 audited according to Proposal No. 034/2024/TTr-HDQT-VCT dated March 29, 2024, by the Board of Directors of the Company.</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Article </w:t>
      </w:r>
      <w:r>
        <w:rPr>
          <w:color w:val="010000"/>
          <w:sz w:val="20"/>
          <w:rtl w:val="0"/>
          <w:b w:val="0"/>
          <w:i w:val="0"/>
          <w:smallCaps w:val="0"/>
          <w:strike w:val="0"/>
          <w:u w:val="none"/>
          <w:shd w:fill="auto" w:val="clear"/>
          <w:vertAlign w:val="baseline"/>
          <w:rFonts w:ascii="Arial" w:hAnsi="Arial"/>
        </w:rPr>
        <w:t xml:space="preserve"> 3:</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Approve the Report dated March 29, 2024, by the Board of Directors of the Company on the results of activities in 2023 and the orientation of activities in 2024 of the Board of Directors.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4:</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Approve the Report dated March 29, 2024, by the Supervisory Board of Vinaconex's Construct Consultant JSC.</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Article </w:t>
      </w:r>
      <w:r>
        <w:rPr>
          <w:color w:val="010000"/>
          <w:sz w:val="20"/>
          <w:rtl w:val="0"/>
          <w:b w:val="0"/>
          <w:i w:val="0"/>
          <w:smallCaps w:val="0"/>
          <w:strike w:val="0"/>
          <w:u w:val="none"/>
          <w:shd w:fill="auto" w:val="clear"/>
          <w:vertAlign w:val="baseline"/>
          <w:rFonts w:ascii="Arial" w:hAnsi="Arial"/>
        </w:rPr>
        <w:t xml:space="preserve"> 5:</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Approve the selection of an independent audit company to review and audit the Financial Statements for 2024 of the Company according to Proposal No. 033/2024/TTr-BKS-VCT dated March 29, 2024, by the Supervisory Board of the Company.</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Article 6:</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Approve the plan for profit distribution in 2023 according to Proposal No. 035/2024/TTr-HDQT-VCT dated March 29, 2024, by the Board of Directors of the Company.</w:t>
      </w:r>
    </w:p>
    <w:p w:rsidR="00000000" w:rsidDel="00000000" w:rsidP="00000000" w:rsidRDefault="00000000" w:rsidRPr="00000000" w14:paraId="00000098">
      <w:pPr>
        <w:numPr>
          <w:ilvl w:val="0"/>
          <w:numId w:val="3"/>
        </w:numPr>
        <w:tabs>
          <w:tab w:val="left" w:leader="none" w:pos="432"/>
          <w:tab w:val="left" w:leader="none" w:pos="569"/>
          <w:tab w:val="right" w:leader="none" w:pos="9013"/>
          <w:tab w:val="right" w:leader="none" w:pos="9170"/>
        </w:tabs>
        <w:spacing w:after="120" w:line="360" w:lineRule="auto"/>
        <w:jc w:val="both"/>
        <w:rPr>
          <w:color w:val="010000"/>
        </w:rPr>
      </w:pPr>
      <w:r>
        <w:rPr>
          <w:color w:val="010000"/>
          <w:sz w:val="20"/>
          <w:rtl w:val="0"/>
          <w:rFonts w:ascii="Arial" w:hAnsi="Arial"/>
        </w:rPr>
        <w:t xml:space="preserve">Profit after tax in 2023:</w:t>
      </w:r>
      <w:r>
        <w:rPr>
          <w:color w:val="010000"/>
          <w:sz w:val="20"/>
          <w:rtl w:val="0"/>
          <w:rFonts w:ascii="Arial" w:hAnsi="Arial"/>
        </w:rPr>
        <w:t xml:space="preserve"> </w:t>
      </w:r>
      <w:r>
        <w:rPr>
          <w:color w:val="010000"/>
          <w:sz w:val="20"/>
          <w:rtl w:val="0"/>
          <w:rFonts w:ascii="Arial" w:hAnsi="Arial"/>
        </w:rPr>
        <w:t xml:space="preserve">VND 361,346,898</w:t>
      </w:r>
    </w:p>
    <w:p w:rsidR="00000000" w:rsidDel="00000000" w:rsidP="00000000" w:rsidRDefault="00000000" w:rsidRPr="00000000" w14:paraId="00000099">
      <w:pPr>
        <w:numPr>
          <w:ilvl w:val="0"/>
          <w:numId w:val="3"/>
        </w:numPr>
        <w:tabs>
          <w:tab w:val="left" w:leader="none" w:pos="432"/>
          <w:tab w:val="left" w:leader="none" w:pos="569"/>
          <w:tab w:val="right" w:leader="none" w:pos="9013"/>
          <w:tab w:val="right" w:leader="none" w:pos="9132"/>
        </w:tabs>
        <w:spacing w:after="120" w:line="360" w:lineRule="auto"/>
        <w:jc w:val="both"/>
        <w:rPr>
          <w:color w:val="010000"/>
        </w:rPr>
      </w:pPr>
      <w:r>
        <w:rPr>
          <w:color w:val="010000"/>
          <w:sz w:val="20"/>
          <w:rtl w:val="0"/>
          <w:rFonts w:ascii="Arial" w:hAnsi="Arial"/>
        </w:rPr>
        <w:t xml:space="preserve">Remaining profit from previous years carried forward:</w:t>
      </w:r>
      <w:r>
        <w:rPr>
          <w:color w:val="010000"/>
          <w:sz w:val="20"/>
          <w:rtl w:val="0"/>
          <w:rFonts w:ascii="Arial" w:hAnsi="Arial"/>
        </w:rPr>
        <w:t xml:space="preserve"> </w:t>
      </w:r>
      <w:r>
        <w:rPr>
          <w:color w:val="010000"/>
          <w:sz w:val="20"/>
          <w:rtl w:val="0"/>
          <w:rFonts w:ascii="Arial" w:hAnsi="Arial"/>
        </w:rPr>
        <w:t xml:space="preserve">VND (17,659,432,956) </w:t>
      </w:r>
    </w:p>
    <w:p w:rsidR="00000000" w:rsidDel="00000000" w:rsidP="00000000" w:rsidRDefault="00000000" w:rsidRPr="00000000" w14:paraId="0000009A">
      <w:pPr>
        <w:numPr>
          <w:ilvl w:val="0"/>
          <w:numId w:val="3"/>
        </w:numPr>
        <w:tabs>
          <w:tab w:val="left" w:leader="none" w:pos="432"/>
          <w:tab w:val="left" w:leader="none" w:pos="574"/>
          <w:tab w:val="right" w:leader="none" w:pos="9013"/>
          <w:tab w:val="right" w:leader="none" w:pos="9175"/>
        </w:tabs>
        <w:spacing w:after="120" w:line="360" w:lineRule="auto"/>
        <w:jc w:val="both"/>
        <w:rPr>
          <w:color w:val="010000"/>
        </w:rPr>
      </w:pPr>
      <w:r>
        <w:rPr>
          <w:color w:val="010000"/>
          <w:sz w:val="20"/>
          <w:rtl w:val="0"/>
          <w:rFonts w:ascii="Arial" w:hAnsi="Arial"/>
        </w:rPr>
        <w:t xml:space="preserve">Distribution of profit after tax:</w:t>
      </w:r>
      <w:r>
        <w:rPr>
          <w:color w:val="010000"/>
          <w:sz w:val="20"/>
          <w:rtl w:val="0"/>
          <w:rFonts w:ascii="Arial" w:hAnsi="Arial"/>
        </w:rPr>
        <w:t xml:space="preserve"> </w:t>
      </w:r>
      <w:r>
        <w:rPr>
          <w:color w:val="010000"/>
          <w:sz w:val="20"/>
          <w:rtl w:val="0"/>
          <w:rFonts w:ascii="Arial" w:hAnsi="Arial"/>
        </w:rPr>
        <w:t xml:space="preserve">VND 0</w:t>
      </w:r>
    </w:p>
    <w:p w:rsidR="00000000" w:rsidDel="00000000" w:rsidP="00000000" w:rsidRDefault="00000000" w:rsidRPr="00000000" w14:paraId="0000009B">
      <w:pPr>
        <w:numPr>
          <w:ilvl w:val="1"/>
          <w:numId w:val="3"/>
        </w:numPr>
        <w:tabs>
          <w:tab w:val="left" w:leader="none" w:pos="432"/>
          <w:tab w:val="left" w:leader="none" w:pos="1010"/>
          <w:tab w:val="right" w:leader="none" w:pos="9013"/>
          <w:tab w:val="right" w:leader="none" w:pos="9107"/>
        </w:tabs>
        <w:spacing w:after="120" w:line="360" w:lineRule="auto"/>
        <w:jc w:val="both"/>
        <w:rPr>
          <w:color w:val="010000"/>
        </w:rPr>
      </w:pPr>
      <w:r>
        <w:rPr>
          <w:color w:val="010000"/>
          <w:sz w:val="20"/>
          <w:rtl w:val="0"/>
          <w:rFonts w:ascii="Arial" w:hAnsi="Arial"/>
        </w:rPr>
        <w:t xml:space="preserve">Appropriation for business development fund</w:t>
      </w:r>
      <w:r>
        <w:rPr>
          <w:color w:val="010000"/>
          <w:sz w:val="20"/>
          <w:rtl w:val="0"/>
          <w:rFonts w:ascii="Arial" w:hAnsi="Arial"/>
        </w:rPr>
        <w:t xml:space="preserve"> </w:t>
      </w:r>
      <w:r>
        <w:rPr>
          <w:color w:val="010000"/>
          <w:sz w:val="20"/>
          <w:rtl w:val="0"/>
          <w:rFonts w:ascii="Arial" w:hAnsi="Arial"/>
        </w:rPr>
        <w:t xml:space="preserve">VND 0</w:t>
      </w:r>
    </w:p>
    <w:p w:rsidR="00000000" w:rsidDel="00000000" w:rsidP="00000000" w:rsidRDefault="00000000" w:rsidRPr="00000000" w14:paraId="0000009C">
      <w:pPr>
        <w:numPr>
          <w:ilvl w:val="1"/>
          <w:numId w:val="3"/>
        </w:numPr>
        <w:tabs>
          <w:tab w:val="left" w:leader="none" w:pos="432"/>
          <w:tab w:val="left" w:leader="none" w:pos="1034"/>
          <w:tab w:val="right" w:leader="none" w:pos="9013"/>
          <w:tab w:val="right" w:leader="none" w:pos="9107"/>
        </w:tabs>
        <w:spacing w:after="120" w:line="360" w:lineRule="auto"/>
        <w:jc w:val="both"/>
        <w:rPr>
          <w:color w:val="010000"/>
        </w:rPr>
      </w:pPr>
      <w:r>
        <w:rPr>
          <w:color w:val="010000"/>
          <w:sz w:val="20"/>
          <w:rtl w:val="0"/>
          <w:rFonts w:ascii="Arial" w:hAnsi="Arial"/>
        </w:rPr>
        <w:t xml:space="preserve">Appropriation for financial reserve fund</w:t>
      </w:r>
      <w:r>
        <w:rPr>
          <w:color w:val="010000"/>
          <w:sz w:val="20"/>
          <w:rtl w:val="0"/>
          <w:rFonts w:ascii="Arial" w:hAnsi="Arial"/>
        </w:rPr>
        <w:t xml:space="preserve"> </w:t>
      </w:r>
      <w:r>
        <w:rPr>
          <w:color w:val="010000"/>
          <w:sz w:val="20"/>
          <w:rtl w:val="0"/>
          <w:rFonts w:ascii="Arial" w:hAnsi="Arial"/>
        </w:rPr>
        <w:t xml:space="preserve">VND 0</w:t>
      </w:r>
    </w:p>
    <w:p w:rsidR="00000000" w:rsidDel="00000000" w:rsidP="00000000" w:rsidRDefault="00000000" w:rsidRPr="00000000" w14:paraId="0000009D">
      <w:pPr>
        <w:numPr>
          <w:ilvl w:val="1"/>
          <w:numId w:val="3"/>
        </w:numPr>
        <w:tabs>
          <w:tab w:val="left" w:leader="none" w:pos="432"/>
          <w:tab w:val="left" w:leader="none" w:pos="1034"/>
          <w:tab w:val="left" w:leader="none" w:pos="8790"/>
        </w:tabs>
        <w:spacing w:after="120" w:line="360" w:lineRule="auto"/>
        <w:jc w:val="both"/>
        <w:rPr>
          <w:color w:val="010000"/>
        </w:rPr>
      </w:pPr>
      <w:r>
        <w:rPr>
          <w:color w:val="010000"/>
          <w:sz w:val="20"/>
          <w:rtl w:val="0"/>
          <w:rFonts w:ascii="Arial" w:hAnsi="Arial"/>
        </w:rPr>
        <w:t xml:space="preserve">Dividend payment by share: </w:t>
      </w:r>
      <w:r>
        <w:rPr>
          <w:color w:val="010000"/>
          <w:sz w:val="20"/>
          <w:rtl w:val="0"/>
          <w:rFonts w:ascii="Arial" w:hAnsi="Arial"/>
        </w:rPr>
        <w:t xml:space="preserve"> </w:t>
      </w:r>
      <w:r>
        <w:rPr>
          <w:color w:val="010000"/>
          <w:sz w:val="20"/>
          <w:rtl w:val="0"/>
          <w:rFonts w:ascii="Arial" w:hAnsi="Arial"/>
        </w:rPr>
        <w:t xml:space="preserve">VND 0</w:t>
      </w:r>
    </w:p>
    <w:p w:rsidR="00000000" w:rsidDel="00000000" w:rsidP="00000000" w:rsidRDefault="00000000" w:rsidRPr="00000000" w14:paraId="0000009E">
      <w:pPr>
        <w:numPr>
          <w:ilvl w:val="1"/>
          <w:numId w:val="3"/>
        </w:numPr>
        <w:tabs>
          <w:tab w:val="left" w:leader="none" w:pos="432"/>
          <w:tab w:val="left" w:leader="none" w:pos="1034"/>
          <w:tab w:val="left" w:leader="none" w:pos="8790"/>
        </w:tabs>
        <w:spacing w:after="120" w:line="360" w:lineRule="auto"/>
        <w:jc w:val="both"/>
        <w:rPr>
          <w:color w:val="010000"/>
        </w:rPr>
      </w:pPr>
      <w:r>
        <w:rPr>
          <w:color w:val="010000"/>
          <w:sz w:val="20"/>
          <w:rtl w:val="0"/>
          <w:rFonts w:ascii="Arial" w:hAnsi="Arial"/>
        </w:rPr>
        <w:t xml:space="preserve">Appropriation to reward and welfare fund:</w:t>
      </w:r>
      <w:r>
        <w:rPr>
          <w:color w:val="010000"/>
          <w:sz w:val="20"/>
          <w:rtl w:val="0"/>
          <w:rFonts w:ascii="Arial" w:hAnsi="Arial"/>
        </w:rPr>
        <w:t xml:space="preserve"> </w:t>
      </w:r>
      <w:r>
        <w:rPr>
          <w:color w:val="010000"/>
          <w:sz w:val="20"/>
          <w:rtl w:val="0"/>
          <w:rFonts w:ascii="Arial" w:hAnsi="Arial"/>
        </w:rPr>
        <w:t xml:space="preserve">VND 0</w:t>
      </w:r>
    </w:p>
    <w:p w:rsidR="00000000" w:rsidDel="00000000" w:rsidP="00000000" w:rsidRDefault="00000000" w:rsidRPr="00000000" w14:paraId="0000009F">
      <w:pPr>
        <w:numPr>
          <w:ilvl w:val="0"/>
          <w:numId w:val="2"/>
        </w:numPr>
        <w:tabs>
          <w:tab w:val="left" w:leader="none" w:pos="432"/>
          <w:tab w:val="left" w:leader="none" w:pos="8790"/>
        </w:tabs>
        <w:spacing w:after="0" w:afterAutospacing="0" w:line="360" w:lineRule="auto"/>
        <w:ind w:left="720" w:hanging="720"/>
        <w:rPr>
          <w:color w:val="010000"/>
          <w:sz w:val="20"/>
          <w:szCs w:val="20"/>
          <w:u w:val="none"/>
          <w:rFonts w:ascii="Arial" w:cs="Arial" w:eastAsia="Arial" w:hAnsi="Arial"/>
        </w:rPr>
      </w:pPr>
      <w:r>
        <w:rPr>
          <w:color w:val="010000"/>
          <w:sz w:val="20"/>
          <w:rtl w:val="0"/>
          <w:rFonts w:ascii="Arial" w:hAnsi="Arial"/>
        </w:rPr>
        <w:t xml:space="preserve">Bonus fund:</w:t>
      </w:r>
      <w:r>
        <w:rPr>
          <w:color w:val="010000"/>
          <w:sz w:val="20"/>
          <w:rtl w:val="0"/>
          <w:rFonts w:ascii="Arial" w:hAnsi="Arial"/>
        </w:rPr>
        <w:t xml:space="preserve"> </w:t>
      </w:r>
      <w:r>
        <w:rPr>
          <w:color w:val="010000"/>
          <w:sz w:val="20"/>
          <w:rtl w:val="0"/>
          <w:rFonts w:ascii="Arial" w:hAnsi="Arial"/>
        </w:rPr>
        <w:t xml:space="preserve">VND 0</w:t>
      </w:r>
    </w:p>
    <w:p w:rsidR="00000000" w:rsidDel="00000000" w:rsidP="00000000" w:rsidRDefault="00000000" w:rsidRPr="00000000" w14:paraId="000000A0">
      <w:pPr>
        <w:numPr>
          <w:ilvl w:val="0"/>
          <w:numId w:val="2"/>
        </w:numPr>
        <w:tabs>
          <w:tab w:val="left" w:leader="none" w:pos="432"/>
          <w:tab w:val="left" w:leader="none" w:pos="8790"/>
        </w:tabs>
        <w:spacing w:after="0" w:afterAutospacing="0" w:line="360" w:lineRule="auto"/>
        <w:ind w:left="720" w:hanging="720"/>
        <w:rPr>
          <w:color w:val="010000"/>
          <w:sz w:val="20"/>
          <w:szCs w:val="20"/>
          <w:u w:val="none"/>
          <w:rFonts w:ascii="Arial" w:cs="Arial" w:eastAsia="Arial" w:hAnsi="Arial"/>
        </w:rPr>
      </w:pPr>
      <w:r>
        <w:rPr>
          <w:color w:val="010000"/>
          <w:sz w:val="20"/>
          <w:rtl w:val="0"/>
          <w:rFonts w:ascii="Arial" w:hAnsi="Arial"/>
        </w:rPr>
        <w:t xml:space="preserve">Welfare fund:</w:t>
      </w:r>
      <w:r>
        <w:rPr>
          <w:color w:val="010000"/>
          <w:sz w:val="20"/>
          <w:rtl w:val="0"/>
          <w:rFonts w:ascii="Arial" w:hAnsi="Arial"/>
        </w:rPr>
        <w:t xml:space="preserve"> </w:t>
      </w:r>
      <w:r>
        <w:rPr>
          <w:color w:val="010000"/>
          <w:sz w:val="20"/>
          <w:rtl w:val="0"/>
          <w:rFonts w:ascii="Arial" w:hAnsi="Arial"/>
        </w:rPr>
        <w:t xml:space="preserve">VND 0</w:t>
      </w:r>
    </w:p>
    <w:p w:rsidR="00000000" w:rsidDel="00000000" w:rsidP="00000000" w:rsidRDefault="00000000" w:rsidRPr="00000000" w14:paraId="000000A1">
      <w:pPr>
        <w:numPr>
          <w:ilvl w:val="0"/>
          <w:numId w:val="3"/>
        </w:numPr>
        <w:tabs>
          <w:tab w:val="left" w:leader="none" w:pos="432"/>
          <w:tab w:val="left" w:leader="none" w:pos="574"/>
          <w:tab w:val="left" w:leader="none" w:pos="7372"/>
        </w:tabs>
        <w:spacing w:after="120" w:line="360" w:lineRule="auto"/>
        <w:jc w:val="both"/>
        <w:rPr>
          <w:color w:val="010000"/>
        </w:rPr>
      </w:pPr>
      <w:r>
        <w:rPr>
          <w:color w:val="010000"/>
          <w:sz w:val="20"/>
          <w:rtl w:val="0"/>
          <w:rFonts w:ascii="Arial" w:hAnsi="Arial"/>
        </w:rPr>
        <w:t xml:space="preserve">Undistributed remaining profit</w:t>
      </w:r>
      <w:r>
        <w:rPr>
          <w:color w:val="010000"/>
          <w:sz w:val="20"/>
          <w:rtl w:val="0"/>
          <w:rFonts w:ascii="Arial" w:hAnsi="Arial"/>
        </w:rPr>
        <w:t xml:space="preserve"> </w:t>
      </w:r>
      <w:r>
        <w:rPr>
          <w:color w:val="010000"/>
          <w:sz w:val="20"/>
          <w:rtl w:val="0"/>
          <w:rFonts w:ascii="Arial" w:hAnsi="Arial"/>
        </w:rPr>
        <w:t xml:space="preserve">VND (17,298,086,058)</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The business results in 2023 had a profit of VND 361,346,898, the total accumulated loss up to the end of 2023 is VND 17,298,086,058, exceeding the owner's equity.</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To compensate for losses and have cash flow for reproduction, the Company does not pay dividends.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Article </w:t>
      </w:r>
      <w:r>
        <w:rPr>
          <w:color w:val="010000"/>
          <w:sz w:val="20"/>
          <w:rtl w:val="0"/>
          <w:b w:val="0"/>
          <w:i w:val="0"/>
          <w:smallCaps w:val="0"/>
          <w:strike w:val="0"/>
          <w:u w:val="none"/>
          <w:shd w:fill="auto" w:val="clear"/>
          <w:vertAlign w:val="baseline"/>
          <w:rFonts w:ascii="Arial" w:hAnsi="Arial"/>
        </w:rPr>
        <w:t xml:space="preserve"> 7:</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Approve the payment of salaries and remuneration to members of the Board of Directors and Supervisory Board who do not work directly at the Company in 2023, the plan for payment of salaries and remuneration to members of the Board of Directors and Supervisory Board in 2024 according to Proposal No. 036/2024/TTr-HDQT-VCT dated March 29, 2024, by the Board of Directors of the Company.</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Article </w:t>
      </w:r>
      <w:r>
        <w:rPr>
          <w:color w:val="010000"/>
          <w:sz w:val="20"/>
          <w:rtl w:val="0"/>
          <w:b w:val="0"/>
          <w:i w:val="0"/>
          <w:smallCaps w:val="0"/>
          <w:strike w:val="0"/>
          <w:u w:val="none"/>
          <w:shd w:fill="auto" w:val="clear"/>
          <w:vertAlign w:val="baseline"/>
          <w:rFonts w:ascii="Arial" w:hAnsi="Arial"/>
        </w:rPr>
        <w:t xml:space="preserve"> 10:</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Terms of enforcement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This General Mandate takes effect from April 25, 2024.</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General Meeting of Shareholders assigns the Board of Directors, the Board of Management, and the Supervisory Board of the Company to organize the implementation of the contents approved at the above General Meeting on the basis of ensuring the interests of the Company and the interests of shareholders, in accordance with the Charter of organization and operation of the Company and current legal General Mandate.</w:t>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1.%2"/>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Vnbnnidung" w:customStyle="1">
    <w:name w:val="Văn bản nội dung_"/>
    <w:basedOn w:val="DefaultParagraphFont"/>
    <w:link w:val="Vnbnnidung0"/>
    <w:rPr>
      <w:rFonts w:ascii="Arial" w:cs="Arial" w:eastAsia="Arial" w:hAnsi="Arial"/>
      <w:b w:val="0"/>
      <w:bCs w:val="0"/>
      <w:i w:val="0"/>
      <w:iCs w:val="0"/>
      <w:smallCaps w:val="0"/>
      <w:strike w:val="0"/>
      <w:sz w:val="20"/>
      <w:szCs w:val="20"/>
      <w:u w:val="none"/>
      <w:shd w:color="auto" w:fill="auto" w:val="clear"/>
    </w:rPr>
  </w:style>
  <w:style w:type="character" w:styleId="Tiu5" w:customStyle="1">
    <w:name w:val="Tiêu đề #5_"/>
    <w:basedOn w:val="DefaultParagraphFont"/>
    <w:link w:val="Tiu50"/>
    <w:rPr>
      <w:rFonts w:ascii="Arial" w:cs="Arial" w:eastAsia="Arial" w:hAnsi="Arial"/>
      <w:b w:val="1"/>
      <w:bCs w:val="1"/>
      <w:i w:val="0"/>
      <w:iCs w:val="0"/>
      <w:smallCaps w:val="0"/>
      <w:strike w:val="0"/>
      <w:color w:val="2a2b30"/>
      <w:sz w:val="20"/>
      <w:szCs w:val="20"/>
      <w:u w:val="none"/>
      <w:shd w:color="auto" w:fill="auto" w:val="clear"/>
    </w:rPr>
  </w:style>
  <w:style w:type="character" w:styleId="Vnbnnidung4" w:customStyle="1">
    <w:name w:val="Văn bản nội dung (4)_"/>
    <w:basedOn w:val="DefaultParagraphFont"/>
    <w:link w:val="Vnbnnidung40"/>
    <w:rPr>
      <w:rFonts w:ascii="Arial" w:cs="Arial" w:eastAsia="Arial" w:hAnsi="Arial"/>
      <w:b w:val="0"/>
      <w:bCs w:val="0"/>
      <w:i w:val="0"/>
      <w:iCs w:val="0"/>
      <w:smallCaps w:val="0"/>
      <w:strike w:val="0"/>
      <w:sz w:val="28"/>
      <w:szCs w:val="28"/>
      <w:u w:val="none"/>
      <w:shd w:color="auto" w:fill="auto" w:val="clear"/>
    </w:rPr>
  </w:style>
  <w:style w:type="character" w:styleId="Vnbnnidung3" w:customStyle="1">
    <w:name w:val="Văn bản nội dung (3)_"/>
    <w:basedOn w:val="DefaultParagraphFont"/>
    <w:link w:val="Vnbnnidung30"/>
    <w:rPr>
      <w:rFonts w:ascii="Arial" w:cs="Arial" w:eastAsia="Arial" w:hAnsi="Arial"/>
      <w:b w:val="0"/>
      <w:bCs w:val="0"/>
      <w:i w:val="0"/>
      <w:iCs w:val="0"/>
      <w:smallCaps w:val="0"/>
      <w:strike w:val="0"/>
      <w:sz w:val="9"/>
      <w:szCs w:val="9"/>
      <w:u w:val="none"/>
      <w:shd w:color="auto" w:fill="auto" w:val="clear"/>
    </w:rPr>
  </w:style>
  <w:style w:type="character" w:styleId="Mclc" w:customStyle="1">
    <w:name w:val="Mục lục_"/>
    <w:basedOn w:val="DefaultParagraphFont"/>
    <w:link w:val="Mclc0"/>
    <w:rPr>
      <w:rFonts w:ascii="Arial" w:cs="Arial" w:eastAsia="Arial" w:hAnsi="Arial"/>
      <w:b w:val="0"/>
      <w:bCs w:val="0"/>
      <w:i w:val="0"/>
      <w:iCs w:val="0"/>
      <w:smallCaps w:val="0"/>
      <w:strike w:val="0"/>
      <w:sz w:val="9"/>
      <w:szCs w:val="9"/>
      <w:u w:val="none"/>
      <w:shd w:color="auto" w:fill="auto" w:val="clear"/>
    </w:rPr>
  </w:style>
  <w:style w:type="character" w:styleId="Tiu4" w:customStyle="1">
    <w:name w:val="Tiêu đề #4_"/>
    <w:basedOn w:val="DefaultParagraphFont"/>
    <w:link w:val="Tiu40"/>
    <w:rPr>
      <w:rFonts w:ascii="Arial" w:cs="Arial" w:eastAsia="Arial" w:hAnsi="Arial"/>
      <w:b w:val="1"/>
      <w:bCs w:val="1"/>
      <w:i w:val="0"/>
      <w:iCs w:val="0"/>
      <w:smallCaps w:val="0"/>
      <w:strike w:val="0"/>
      <w:color w:val="2a2b30"/>
      <w:sz w:val="22"/>
      <w:szCs w:val="22"/>
      <w:u w:val="none"/>
      <w:shd w:color="auto" w:fill="auto" w:val="clear"/>
    </w:rPr>
  </w:style>
  <w:style w:type="character" w:styleId="Vnbnnidung2" w:customStyle="1">
    <w:name w:val="Văn bản nội dung (2)_"/>
    <w:basedOn w:val="DefaultParagraphFont"/>
    <w:link w:val="Vnbnnidung20"/>
    <w:rPr>
      <w:rFonts w:ascii="Arial" w:cs="Arial" w:eastAsia="Arial" w:hAnsi="Arial"/>
      <w:b w:val="0"/>
      <w:bCs w:val="0"/>
      <w:i w:val="1"/>
      <w:iCs w:val="1"/>
      <w:smallCaps w:val="0"/>
      <w:strike w:val="0"/>
      <w:sz w:val="15"/>
      <w:szCs w:val="15"/>
      <w:u w:val="none"/>
      <w:shd w:color="auto" w:fill="auto" w:val="clear"/>
    </w:rPr>
  </w:style>
  <w:style w:type="character" w:styleId="Tiu1" w:customStyle="1">
    <w:name w:val="Tiêu đề #1_"/>
    <w:basedOn w:val="DefaultParagraphFont"/>
    <w:link w:val="Tiu10"/>
    <w:rPr>
      <w:rFonts w:ascii="Arial" w:cs="Arial" w:eastAsia="Arial" w:hAnsi="Arial"/>
      <w:b w:val="0"/>
      <w:bCs w:val="0"/>
      <w:i w:val="0"/>
      <w:iCs w:val="0"/>
      <w:smallCaps w:val="1"/>
      <w:strike w:val="0"/>
      <w:color w:val="ed576d"/>
      <w:sz w:val="32"/>
      <w:szCs w:val="32"/>
      <w:u w:val="none"/>
      <w:shd w:color="auto" w:fill="auto" w:val="clear"/>
    </w:rPr>
  </w:style>
  <w:style w:type="character" w:styleId="Khc" w:customStyle="1">
    <w:name w:val="Khác_"/>
    <w:basedOn w:val="DefaultParagraphFont"/>
    <w:link w:val="Khc0"/>
    <w:rPr>
      <w:rFonts w:ascii="Arial" w:cs="Arial" w:eastAsia="Arial" w:hAnsi="Arial"/>
      <w:b w:val="0"/>
      <w:bCs w:val="0"/>
      <w:i w:val="0"/>
      <w:iCs w:val="0"/>
      <w:smallCaps w:val="0"/>
      <w:strike w:val="0"/>
      <w:sz w:val="20"/>
      <w:szCs w:val="20"/>
      <w:u w:val="none"/>
      <w:shd w:color="auto" w:fill="auto" w:val="clear"/>
    </w:rPr>
  </w:style>
  <w:style w:type="character" w:styleId="Chthchbng" w:customStyle="1">
    <w:name w:val="Chú thích bảng_"/>
    <w:basedOn w:val="DefaultParagraphFont"/>
    <w:link w:val="Chthchbng0"/>
    <w:rPr>
      <w:rFonts w:ascii="Arial" w:cs="Arial" w:eastAsia="Arial" w:hAnsi="Arial"/>
      <w:b w:val="0"/>
      <w:bCs w:val="0"/>
      <w:i w:val="0"/>
      <w:iCs w:val="0"/>
      <w:smallCaps w:val="0"/>
      <w:strike w:val="0"/>
      <w:sz w:val="20"/>
      <w:szCs w:val="20"/>
      <w:u w:val="none"/>
      <w:shd w:color="auto" w:fill="auto" w:val="clear"/>
    </w:rPr>
  </w:style>
  <w:style w:type="character" w:styleId="Tiu3" w:customStyle="1">
    <w:name w:val="Tiêu đề #3_"/>
    <w:basedOn w:val="DefaultParagraphFont"/>
    <w:link w:val="Tiu30"/>
    <w:rPr>
      <w:rFonts w:ascii="Arial" w:cs="Arial" w:eastAsia="Arial" w:hAnsi="Arial"/>
      <w:b w:val="0"/>
      <w:bCs w:val="0"/>
      <w:i w:val="0"/>
      <w:iCs w:val="0"/>
      <w:smallCaps w:val="1"/>
      <w:strike w:val="0"/>
      <w:sz w:val="28"/>
      <w:szCs w:val="28"/>
      <w:u w:val="none"/>
      <w:shd w:color="auto" w:fill="auto" w:val="clear"/>
    </w:rPr>
  </w:style>
  <w:style w:type="character" w:styleId="Tiu2" w:customStyle="1">
    <w:name w:val="Tiêu đề #2_"/>
    <w:basedOn w:val="DefaultParagraphFont"/>
    <w:link w:val="Tiu20"/>
    <w:rPr>
      <w:rFonts w:ascii="Arial" w:cs="Arial" w:eastAsia="Arial" w:hAnsi="Arial"/>
      <w:b w:val="1"/>
      <w:bCs w:val="1"/>
      <w:i w:val="0"/>
      <w:iCs w:val="0"/>
      <w:smallCaps w:val="0"/>
      <w:strike w:val="0"/>
      <w:sz w:val="26"/>
      <w:szCs w:val="26"/>
      <w:u w:val="none"/>
      <w:shd w:color="auto" w:fill="auto" w:val="clear"/>
    </w:rPr>
  </w:style>
  <w:style w:type="paragraph" w:styleId="Vnbnnidung0" w:customStyle="1">
    <w:name w:val="Văn bản nội dung"/>
    <w:basedOn w:val="Normal"/>
    <w:link w:val="Vnbnnidung"/>
    <w:pPr>
      <w:spacing w:after="40" w:line="334" w:lineRule="auto"/>
    </w:pPr>
    <w:rPr>
      <w:rFonts w:ascii="Arial" w:cs="Arial" w:eastAsia="Arial" w:hAnsi="Arial"/>
      <w:sz w:val="20"/>
      <w:szCs w:val="20"/>
    </w:rPr>
  </w:style>
  <w:style w:type="paragraph" w:styleId="Tiu50" w:customStyle="1">
    <w:name w:val="Tiêu đề #5"/>
    <w:basedOn w:val="Normal"/>
    <w:link w:val="Tiu5"/>
    <w:pPr>
      <w:spacing w:line="271" w:lineRule="auto"/>
      <w:jc w:val="center"/>
      <w:outlineLvl w:val="4"/>
    </w:pPr>
    <w:rPr>
      <w:rFonts w:ascii="Arial" w:cs="Arial" w:eastAsia="Arial" w:hAnsi="Arial"/>
      <w:b w:val="1"/>
      <w:bCs w:val="1"/>
      <w:color w:val="2a2b30"/>
      <w:sz w:val="20"/>
      <w:szCs w:val="20"/>
    </w:rPr>
  </w:style>
  <w:style w:type="paragraph" w:styleId="Vnbnnidung40" w:customStyle="1">
    <w:name w:val="Văn bản nội dung (4)"/>
    <w:basedOn w:val="Normal"/>
    <w:link w:val="Vnbnnidung4"/>
    <w:pPr>
      <w:spacing w:line="120" w:lineRule="auto"/>
      <w:jc w:val="right"/>
    </w:pPr>
    <w:rPr>
      <w:rFonts w:ascii="Arial" w:cs="Arial" w:eastAsia="Arial" w:hAnsi="Arial"/>
      <w:sz w:val="28"/>
      <w:szCs w:val="28"/>
    </w:rPr>
  </w:style>
  <w:style w:type="paragraph" w:styleId="Vnbnnidung30" w:customStyle="1">
    <w:name w:val="Văn bản nội dung (3)"/>
    <w:basedOn w:val="Normal"/>
    <w:link w:val="Vnbnnidung3"/>
    <w:pPr>
      <w:spacing w:line="178" w:lineRule="auto"/>
    </w:pPr>
    <w:rPr>
      <w:rFonts w:ascii="Arial" w:cs="Arial" w:eastAsia="Arial" w:hAnsi="Arial"/>
      <w:sz w:val="9"/>
      <w:szCs w:val="9"/>
    </w:rPr>
  </w:style>
  <w:style w:type="paragraph" w:styleId="Mclc0" w:customStyle="1">
    <w:name w:val="Mục lục"/>
    <w:basedOn w:val="Normal"/>
    <w:link w:val="Mclc"/>
    <w:pPr>
      <w:spacing w:line="384" w:lineRule="auto"/>
      <w:ind w:firstLine="220"/>
    </w:pPr>
    <w:rPr>
      <w:rFonts w:ascii="Arial" w:cs="Arial" w:eastAsia="Arial" w:hAnsi="Arial"/>
      <w:sz w:val="9"/>
      <w:szCs w:val="9"/>
    </w:rPr>
  </w:style>
  <w:style w:type="paragraph" w:styleId="Tiu40" w:customStyle="1">
    <w:name w:val="Tiêu đề #4"/>
    <w:basedOn w:val="Normal"/>
    <w:link w:val="Tiu4"/>
    <w:pPr>
      <w:spacing w:after="100" w:line="312" w:lineRule="auto"/>
      <w:jc w:val="center"/>
      <w:outlineLvl w:val="3"/>
    </w:pPr>
    <w:rPr>
      <w:rFonts w:ascii="Arial" w:cs="Arial" w:eastAsia="Arial" w:hAnsi="Arial"/>
      <w:b w:val="1"/>
      <w:bCs w:val="1"/>
      <w:color w:val="2a2b30"/>
      <w:sz w:val="22"/>
      <w:szCs w:val="22"/>
    </w:rPr>
  </w:style>
  <w:style w:type="paragraph" w:styleId="Vnbnnidung20" w:customStyle="1">
    <w:name w:val="Văn bản nội dung (2)"/>
    <w:basedOn w:val="Normal"/>
    <w:link w:val="Vnbnnidung2"/>
    <w:rPr>
      <w:rFonts w:ascii="Arial" w:cs="Arial" w:eastAsia="Arial" w:hAnsi="Arial"/>
      <w:i w:val="1"/>
      <w:iCs w:val="1"/>
      <w:sz w:val="15"/>
      <w:szCs w:val="15"/>
    </w:rPr>
  </w:style>
  <w:style w:type="paragraph" w:styleId="Tiu10" w:customStyle="1">
    <w:name w:val="Tiêu đề #1"/>
    <w:basedOn w:val="Normal"/>
    <w:link w:val="Tiu1"/>
    <w:pPr>
      <w:spacing w:line="180" w:lineRule="auto"/>
      <w:jc w:val="right"/>
      <w:outlineLvl w:val="0"/>
    </w:pPr>
    <w:rPr>
      <w:rFonts w:ascii="Arial" w:cs="Arial" w:eastAsia="Arial" w:hAnsi="Arial"/>
      <w:smallCaps w:val="1"/>
      <w:color w:val="ed576d"/>
      <w:sz w:val="32"/>
      <w:szCs w:val="32"/>
    </w:rPr>
  </w:style>
  <w:style w:type="paragraph" w:styleId="Khc0" w:customStyle="1">
    <w:name w:val="Khác"/>
    <w:basedOn w:val="Normal"/>
    <w:link w:val="Khc"/>
    <w:pPr>
      <w:spacing w:after="40" w:line="334" w:lineRule="auto"/>
    </w:pPr>
    <w:rPr>
      <w:rFonts w:ascii="Arial" w:cs="Arial" w:eastAsia="Arial" w:hAnsi="Arial"/>
      <w:sz w:val="20"/>
      <w:szCs w:val="20"/>
    </w:rPr>
  </w:style>
  <w:style w:type="paragraph" w:styleId="Chthchbng0" w:customStyle="1">
    <w:name w:val="Chú thích bảng"/>
    <w:basedOn w:val="Normal"/>
    <w:link w:val="Chthchbng"/>
    <w:pPr>
      <w:spacing w:line="293" w:lineRule="auto"/>
    </w:pPr>
    <w:rPr>
      <w:rFonts w:ascii="Arial" w:cs="Arial" w:eastAsia="Arial" w:hAnsi="Arial"/>
      <w:sz w:val="20"/>
      <w:szCs w:val="20"/>
    </w:rPr>
  </w:style>
  <w:style w:type="paragraph" w:styleId="Tiu30" w:customStyle="1">
    <w:name w:val="Tiêu đề #3"/>
    <w:basedOn w:val="Normal"/>
    <w:link w:val="Tiu3"/>
    <w:pPr>
      <w:spacing w:after="40"/>
      <w:jc w:val="center"/>
      <w:outlineLvl w:val="2"/>
    </w:pPr>
    <w:rPr>
      <w:rFonts w:ascii="Arial" w:cs="Arial" w:eastAsia="Arial" w:hAnsi="Arial"/>
      <w:smallCaps w:val="1"/>
      <w:sz w:val="28"/>
      <w:szCs w:val="28"/>
    </w:rPr>
  </w:style>
  <w:style w:type="paragraph" w:styleId="Tiu20" w:customStyle="1">
    <w:name w:val="Tiêu đề #2"/>
    <w:basedOn w:val="Normal"/>
    <w:link w:val="Tiu2"/>
    <w:pPr>
      <w:spacing w:after="160"/>
      <w:jc w:val="center"/>
      <w:outlineLvl w:val="1"/>
    </w:pPr>
    <w:rPr>
      <w:rFonts w:ascii="Arial" w:cs="Arial" w:eastAsia="Arial" w:hAnsi="Arial"/>
      <w:b w:val="1"/>
      <w:bCs w:val="1"/>
      <w:sz w:val="26"/>
      <w:szCs w:val="26"/>
    </w:rPr>
  </w:style>
  <w:style w:type="paragraph" w:styleId="ListParagraph">
    <w:name w:val="List Paragraph"/>
    <w:basedOn w:val="Normal"/>
    <w:uiPriority w:val="34"/>
    <w:qFormat w:val="1"/>
    <w:rsid w:val="008B33C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h27KmSVa37/ngRijSsgK6eWRrA==">CgMxLjA4AHIhMVdfWEM0Vk8yNW1lemlLbzNkQVRkdTVzanhGMnJoU1BQ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2024-05-03T04:39:00Z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48e7102102efb40b758b69ef1d555fe853750f95a13bdca075486a1df4998853</vt:lpwstr>
  </property>
</Properties>
</file>