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FE73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VNR: Annual General Mandate 2024</w:t>
      </w:r>
    </w:p>
    <w:p w14:paraId="11157445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23, 2024, Vietnam National Reinsurance Corporation announced General Mandate No. 09/2024/QD-DHDCD as follows:</w:t>
      </w:r>
    </w:p>
    <w:p w14:paraId="7F1A4385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Financial Statements 2023 of the Company audited by PwC (Vietnam) Limited:</w:t>
      </w:r>
    </w:p>
    <w:p w14:paraId="2D9D37F5" w14:textId="77777777" w:rsidR="00B545DF" w:rsidRDefault="00C25CE0" w:rsidP="00C42E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Separate Financial Statement 2023: Some main targets</w:t>
      </w:r>
    </w:p>
    <w:p w14:paraId="0378888D" w14:textId="77777777" w:rsidR="00B545DF" w:rsidRDefault="00C25CE0" w:rsidP="00C42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assets: VND 7,713,256,003,162</w:t>
      </w:r>
    </w:p>
    <w:p w14:paraId="421B34D5" w14:textId="77777777" w:rsidR="00B545DF" w:rsidRDefault="00C25CE0" w:rsidP="00C42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Owners’ equity: VND 3,445,920,422,237</w:t>
      </w:r>
    </w:p>
    <w:p w14:paraId="28C69E48" w14:textId="77777777" w:rsidR="00B545DF" w:rsidRDefault="00C25CE0" w:rsidP="00C42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Professional provisions:</w:t>
      </w:r>
    </w:p>
    <w:p w14:paraId="66B2EDE5" w14:textId="77777777" w:rsidR="00B545DF" w:rsidRDefault="00C25CE0" w:rsidP="00C42E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Reinsurance Conceded Provision: VND 1,503,770,377,605</w:t>
      </w:r>
    </w:p>
    <w:p w14:paraId="795D5DCD" w14:textId="77777777" w:rsidR="00B545DF" w:rsidRDefault="00C25CE0" w:rsidP="00C42E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Reinsurance Received Provision: VND 3,116,844,047,437</w:t>
      </w:r>
    </w:p>
    <w:tbl>
      <w:tblPr>
        <w:tblStyle w:val="a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2476"/>
      </w:tblGrid>
      <w:tr w:rsidR="00B545DF" w14:paraId="734F553F" w14:textId="77777777">
        <w:trPr>
          <w:jc w:val="center"/>
        </w:trPr>
        <w:tc>
          <w:tcPr>
            <w:tcW w:w="6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48C18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Targets 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F29B2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 (VND)</w:t>
            </w:r>
          </w:p>
        </w:tc>
      </w:tr>
      <w:tr w:rsidR="00B545DF" w14:paraId="7683F0C4" w14:textId="77777777">
        <w:trPr>
          <w:jc w:val="center"/>
        </w:trPr>
        <w:tc>
          <w:tcPr>
            <w:tcW w:w="6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64BF2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 from reinsurance received fee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C58B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2,677,422,217,971</w:t>
            </w:r>
          </w:p>
        </w:tc>
      </w:tr>
      <w:tr w:rsidR="00B545DF" w14:paraId="57832135" w14:textId="77777777">
        <w:trPr>
          <w:jc w:val="center"/>
        </w:trPr>
        <w:tc>
          <w:tcPr>
            <w:tcW w:w="6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8875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Core Insurance Professionals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BE87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2,540,490,558,040</w:t>
            </w:r>
          </w:p>
        </w:tc>
      </w:tr>
      <w:tr w:rsidR="00B545DF" w14:paraId="53B5B5C2" w14:textId="77777777">
        <w:trPr>
          <w:jc w:val="center"/>
        </w:trPr>
        <w:tc>
          <w:tcPr>
            <w:tcW w:w="6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DDC9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Insurance professionals for personal accident for borrowers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5AEF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136,931,659,931</w:t>
            </w:r>
          </w:p>
        </w:tc>
      </w:tr>
      <w:tr w:rsidR="00B545DF" w14:paraId="10236FAB" w14:textId="77777777">
        <w:trPr>
          <w:jc w:val="center"/>
        </w:trPr>
        <w:tc>
          <w:tcPr>
            <w:tcW w:w="6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ABBA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CD566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473,642,225,093</w:t>
            </w:r>
          </w:p>
        </w:tc>
      </w:tr>
      <w:tr w:rsidR="00B545DF" w14:paraId="5D2C2053" w14:textId="77777777">
        <w:trPr>
          <w:jc w:val="center"/>
        </w:trPr>
        <w:tc>
          <w:tcPr>
            <w:tcW w:w="6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F9CC8" w14:textId="7A5546D0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 which, profit from exchange rate difference (not used for dividend payment)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E7E32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(26,816,375,368)</w:t>
            </w:r>
          </w:p>
        </w:tc>
      </w:tr>
    </w:tbl>
    <w:p w14:paraId="00E0FA08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Corporation has exceeded the business plan in 2023</w:t>
      </w:r>
    </w:p>
    <w:p w14:paraId="51E4AB45" w14:textId="77777777" w:rsidR="00B545DF" w:rsidRDefault="00C25CE0" w:rsidP="00C42E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Consolidated Financial Statements 2023: Some main targets:</w:t>
      </w:r>
    </w:p>
    <w:p w14:paraId="4C8B4FE8" w14:textId="77777777" w:rsidR="00B545DF" w:rsidRDefault="00C25CE0" w:rsidP="00C4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Total assets: VND 8,002,256,148,750</w:t>
      </w:r>
    </w:p>
    <w:p w14:paraId="1785546B" w14:textId="77777777" w:rsidR="00B545DF" w:rsidRDefault="00C25CE0" w:rsidP="00C4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Owners’ equity: VND 3,717,333,916,781</w:t>
      </w:r>
    </w:p>
    <w:p w14:paraId="71045E3E" w14:textId="77777777" w:rsidR="00B545DF" w:rsidRDefault="00C25CE0" w:rsidP="00C4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Professional provisions: </w:t>
      </w:r>
    </w:p>
    <w:p w14:paraId="4FA05467" w14:textId="77777777" w:rsidR="00B545DF" w:rsidRDefault="00C25CE0" w:rsidP="00C42E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Reinsurance Conceded Provision: VND 1,503,770,377,605</w:t>
      </w:r>
    </w:p>
    <w:p w14:paraId="54D2D234" w14:textId="77777777" w:rsidR="00B545DF" w:rsidRDefault="00C25CE0" w:rsidP="00C42E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Reinsurance Received Provision: VND 3,116,844,047,437</w:t>
      </w:r>
    </w:p>
    <w:p w14:paraId="36D6E61D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the Profit distribution plan for 2023.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2941"/>
      </w:tblGrid>
      <w:tr w:rsidR="00B545DF" w14:paraId="5FBAF615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6BC7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97B4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 (VND)</w:t>
            </w:r>
          </w:p>
        </w:tc>
      </w:tr>
      <w:tr w:rsidR="00B545DF" w14:paraId="70359726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F72AD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 Remaining profit as of January 01, 2023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F11AB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827,720,556,907</w:t>
            </w:r>
          </w:p>
        </w:tc>
      </w:tr>
      <w:tr w:rsidR="00B545DF" w14:paraId="5E88737E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47853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Distributed profit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8FB2C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751,967,954,708</w:t>
            </w:r>
          </w:p>
        </w:tc>
      </w:tr>
      <w:tr w:rsidR="00B545DF" w14:paraId="130CAD0D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37E91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(exchange rate difference)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B59B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75,752,602,199</w:t>
            </w:r>
          </w:p>
        </w:tc>
      </w:tr>
      <w:tr w:rsidR="00B545DF" w14:paraId="29B1794C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785C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 Dividends payment in 2022 by shares (the rate of 10%)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48DD3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150,734,870,000</w:t>
            </w:r>
          </w:p>
        </w:tc>
      </w:tr>
      <w:tr w:rsidR="00B545DF" w14:paraId="04506724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72172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3 Profit after tax in 2023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AC050" w14:textId="77777777" w:rsidR="00B545DF" w:rsidRDefault="00B545D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545DF" w14:paraId="1F7FECDA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1700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3.1 Realized profit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3E1F3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397,218,403,717</w:t>
            </w:r>
          </w:p>
        </w:tc>
      </w:tr>
      <w:tr w:rsidR="00B545DF" w14:paraId="43472749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E2098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Distributed profit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51FF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424,034,779,085</w:t>
            </w:r>
          </w:p>
        </w:tc>
      </w:tr>
      <w:tr w:rsidR="00B545DF" w14:paraId="53979BD9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AE0FB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(exchange rate difference)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5BF4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(26,816,375,368)</w:t>
            </w:r>
          </w:p>
        </w:tc>
      </w:tr>
      <w:tr w:rsidR="00B545DF" w14:paraId="77C7FE83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2AF51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3.2 Profit distribution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CAE4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359,393,677,221</w:t>
            </w:r>
          </w:p>
        </w:tc>
      </w:tr>
      <w:tr w:rsidR="00B545DF" w14:paraId="629C16F1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BE47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Compulsory Reserve Fund (5% of Profit after tax)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9AE3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15,073,487,000</w:t>
            </w:r>
          </w:p>
        </w:tc>
      </w:tr>
      <w:tr w:rsidR="00B545DF" w14:paraId="33C46FB9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8FB8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Investment and development fund.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69B66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B545DF" w14:paraId="0E184732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ED39E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Bonus Fund (1.5% of Profit after tax)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90BD8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6,360,521,686</w:t>
            </w:r>
          </w:p>
        </w:tc>
      </w:tr>
      <w:tr w:rsidR="00B545DF" w14:paraId="7B71DD04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0080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Welfare Fund (01 month of realized salary)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F0DD9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6,338,434,535</w:t>
            </w:r>
          </w:p>
        </w:tc>
      </w:tr>
      <w:tr w:rsidR="00B545DF" w14:paraId="1EC1029D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8E99F" w14:textId="348A9665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in 2023 in cash (the rate of 10%)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76CAD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165,810,617,000</w:t>
            </w:r>
          </w:p>
        </w:tc>
      </w:tr>
      <w:tr w:rsidR="00B545DF" w14:paraId="2DCF78D6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E0BBC" w14:textId="43B86BD8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Dividend payment in 2023 by shares (the rate of 10%)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52F2B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165,810,617,000</w:t>
            </w:r>
          </w:p>
        </w:tc>
      </w:tr>
      <w:tr w:rsidR="00B545DF" w14:paraId="177CF52C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5B7918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 Accumulated remaining profit (4=1-2+3)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14EE8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714,810,413,403</w:t>
            </w:r>
          </w:p>
        </w:tc>
      </w:tr>
      <w:tr w:rsidR="00B545DF" w14:paraId="420F9B0B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6592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Distributed profit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5E6A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665,874,186,572</w:t>
            </w:r>
          </w:p>
        </w:tc>
      </w:tr>
      <w:tr w:rsidR="00B545DF" w14:paraId="409D9170" w14:textId="77777777">
        <w:tc>
          <w:tcPr>
            <w:tcW w:w="60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BDC2C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Undistributed profit (exchange rate difference)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A626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48,936,226,831</w:t>
            </w:r>
          </w:p>
        </w:tc>
      </w:tr>
    </w:tbl>
    <w:p w14:paraId="77E139DF" w14:textId="7530A72B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Approve the rate of dividend payment</w:t>
      </w:r>
      <w:r w:rsidR="00C42ED2">
        <w:rPr>
          <w:rFonts w:ascii="Arial" w:hAnsi="Arial"/>
          <w:color w:val="010000"/>
          <w:sz w:val="20"/>
        </w:rPr>
        <w:t xml:space="preserve"> in 2023: 10% in cash and 10% by</w:t>
      </w:r>
      <w:r>
        <w:rPr>
          <w:rFonts w:ascii="Arial" w:hAnsi="Arial"/>
          <w:color w:val="010000"/>
          <w:sz w:val="20"/>
        </w:rPr>
        <w:t xml:space="preserve"> shares</w:t>
      </w:r>
    </w:p>
    <w:p w14:paraId="16760518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4: Approve the remuneration (including tax) for the Board of Directors, the Supervisory Board, and the Secretariat Group of the Board of Directors in 2023: VND 2,170,219,780</w:t>
      </w:r>
    </w:p>
    <w:p w14:paraId="48AE1E8B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5: Approve the business plan in 2024 with main targets as follows:</w:t>
      </w:r>
    </w:p>
    <w:p w14:paraId="5AD69682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 Million VND</w:t>
      </w:r>
    </w:p>
    <w:tbl>
      <w:tblPr>
        <w:tblStyle w:val="a1"/>
        <w:tblW w:w="9017" w:type="dxa"/>
        <w:tblLayout w:type="fixed"/>
        <w:tblLook w:val="0000" w:firstRow="0" w:lastRow="0" w:firstColumn="0" w:lastColumn="0" w:noHBand="0" w:noVBand="0"/>
      </w:tblPr>
      <w:tblGrid>
        <w:gridCol w:w="3268"/>
        <w:gridCol w:w="2204"/>
        <w:gridCol w:w="2171"/>
        <w:gridCol w:w="1374"/>
      </w:tblGrid>
      <w:tr w:rsidR="00B545DF" w14:paraId="438BB8A3" w14:textId="77777777"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8D529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68139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for 2024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8674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0286E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Growth</w:t>
            </w:r>
          </w:p>
        </w:tc>
      </w:tr>
      <w:tr w:rsidR="00B545DF" w14:paraId="24EF3646" w14:textId="77777777"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7134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Revenue from Received Fee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BE20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2,918,000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C540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2,677,422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0970B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9.0%</w:t>
            </w:r>
          </w:p>
        </w:tc>
      </w:tr>
      <w:tr w:rsidR="00B545DF" w14:paraId="662CAAC7" w14:textId="77777777">
        <w:tc>
          <w:tcPr>
            <w:tcW w:w="32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1D48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Core Reinsurance Professionals</w:t>
            </w:r>
          </w:p>
        </w:tc>
        <w:tc>
          <w:tcPr>
            <w:tcW w:w="22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30241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2,778,000</w:t>
            </w:r>
          </w:p>
        </w:tc>
        <w:tc>
          <w:tcPr>
            <w:tcW w:w="21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A4ED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2,540,491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F055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9.3%</w:t>
            </w:r>
          </w:p>
        </w:tc>
      </w:tr>
      <w:tr w:rsidR="00B545DF" w14:paraId="6537039C" w14:textId="77777777">
        <w:tc>
          <w:tcPr>
            <w:tcW w:w="32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07BC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Personal Assistant Professionals</w:t>
            </w:r>
          </w:p>
        </w:tc>
        <w:tc>
          <w:tcPr>
            <w:tcW w:w="22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9087C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140,000</w:t>
            </w:r>
          </w:p>
        </w:tc>
        <w:tc>
          <w:tcPr>
            <w:tcW w:w="21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767AC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136,932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0F72B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2.2%</w:t>
            </w:r>
          </w:p>
        </w:tc>
      </w:tr>
      <w:tr w:rsidR="00B545DF" w14:paraId="1511A9CE" w14:textId="77777777"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2737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405AE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505,000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AA434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473,642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A1704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6.6%</w:t>
            </w:r>
          </w:p>
        </w:tc>
      </w:tr>
      <w:tr w:rsidR="00B545DF" w14:paraId="70BD4927" w14:textId="77777777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C03E6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Expected dividend payment rate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E7403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 in cash</w:t>
            </w:r>
          </w:p>
          <w:p w14:paraId="6E554851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 by shares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4323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 in cash</w:t>
            </w:r>
          </w:p>
          <w:p w14:paraId="79C7BD0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10% by shares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A9258" w14:textId="77777777" w:rsidR="00B545DF" w:rsidRDefault="00B545D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8AC61DE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6: Approve the Report on the activities of the Board of Directors in 2023 (Report attached herewith).</w:t>
      </w:r>
    </w:p>
    <w:p w14:paraId="78334F7F" w14:textId="77777777" w:rsidR="00B545DF" w:rsidRDefault="00C25CE0" w:rsidP="00C42E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Results of the business activities in 2023 as per the approved General Mandate:</w:t>
      </w:r>
    </w:p>
    <w:p w14:paraId="637DB0C6" w14:textId="77777777" w:rsidR="00B545DF" w:rsidRDefault="00C25CE0" w:rsidP="00C42ED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Billion VND</w:t>
      </w:r>
    </w:p>
    <w:tbl>
      <w:tblPr>
        <w:tblStyle w:val="a2"/>
        <w:tblW w:w="9017" w:type="dxa"/>
        <w:jc w:val="center"/>
        <w:tblLayout w:type="fixed"/>
        <w:tblLook w:val="0000" w:firstRow="0" w:lastRow="0" w:firstColumn="0" w:lastColumn="0" w:noHBand="0" w:noVBand="0"/>
      </w:tblPr>
      <w:tblGrid>
        <w:gridCol w:w="2785"/>
        <w:gridCol w:w="1253"/>
        <w:gridCol w:w="1266"/>
        <w:gridCol w:w="1291"/>
        <w:gridCol w:w="1131"/>
        <w:gridCol w:w="1291"/>
      </w:tblGrid>
      <w:tr w:rsidR="00B545DF" w14:paraId="39C031D7" w14:textId="77777777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37CA9" w14:textId="77777777" w:rsidR="00B545DF" w:rsidRDefault="00B545DF" w:rsidP="00C42ED2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24C58" w14:textId="77777777" w:rsidR="00B545DF" w:rsidRDefault="00C25CE0" w:rsidP="00C4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Results in 2023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7837F" w14:textId="77777777" w:rsidR="00B545DF" w:rsidRDefault="00C25CE0" w:rsidP="00C4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in 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C431C" w14:textId="77777777" w:rsidR="00B545DF" w:rsidRDefault="00C25CE0" w:rsidP="00C4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Results in 2022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73478" w14:textId="77777777" w:rsidR="00B545DF" w:rsidRDefault="00C25CE0" w:rsidP="00C4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that of 2022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4D018" w14:textId="77777777" w:rsidR="00B545DF" w:rsidRDefault="00C25CE0" w:rsidP="00C4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Compared to Plan in 2023 Plan</w:t>
            </w:r>
          </w:p>
        </w:tc>
      </w:tr>
      <w:tr w:rsidR="00B545DF" w14:paraId="03138F21" w14:textId="77777777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4C82B" w14:textId="0C0602BB" w:rsidR="00B545DF" w:rsidRDefault="00C42ED2" w:rsidP="00C4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Realized premium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FE2E6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2,677,422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0841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2,468,000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968C2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2,368,870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4CFF6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113.0%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B0960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108.5%</w:t>
            </w:r>
          </w:p>
        </w:tc>
      </w:tr>
      <w:tr w:rsidR="00B545DF" w14:paraId="2F12FA3F" w14:textId="77777777">
        <w:trPr>
          <w:jc w:val="center"/>
        </w:trPr>
        <w:tc>
          <w:tcPr>
            <w:tcW w:w="2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6A428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Core Reinsurance Professionals</w:t>
            </w:r>
          </w:p>
        </w:tc>
        <w:tc>
          <w:tcPr>
            <w:tcW w:w="12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44ABB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2,540,491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3BB41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2,168,000</w:t>
            </w:r>
          </w:p>
        </w:tc>
        <w:tc>
          <w:tcPr>
            <w:tcW w:w="12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385D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1,971,254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2E2D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128.9%</w:t>
            </w: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572D4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117.2°%</w:t>
            </w:r>
          </w:p>
        </w:tc>
      </w:tr>
      <w:tr w:rsidR="00B545DF" w14:paraId="69CAC45D" w14:textId="77777777">
        <w:trPr>
          <w:jc w:val="center"/>
        </w:trPr>
        <w:tc>
          <w:tcPr>
            <w:tcW w:w="27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70474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Personal Assistant Professionals</w:t>
            </w:r>
          </w:p>
        </w:tc>
        <w:tc>
          <w:tcPr>
            <w:tcW w:w="12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2872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136,932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7685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300,000</w:t>
            </w:r>
          </w:p>
        </w:tc>
        <w:tc>
          <w:tcPr>
            <w:tcW w:w="129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A998A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397,536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104FE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34.4%</w:t>
            </w: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97784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45.6°%</w:t>
            </w:r>
          </w:p>
        </w:tc>
      </w:tr>
      <w:tr w:rsidR="00B545DF" w14:paraId="7AD95A87" w14:textId="77777777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C1395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E7EEE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473,642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50177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460,000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5FB49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439,371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5FD2E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107.8%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EA97F" w14:textId="77777777" w:rsidR="00B545DF" w:rsidRDefault="00C2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103.0%</w:t>
            </w:r>
          </w:p>
        </w:tc>
      </w:tr>
    </w:tbl>
    <w:p w14:paraId="7F72F4BC" w14:textId="77777777" w:rsidR="00B545DF" w:rsidRDefault="00C25C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7: Approve the Report of the Supervisory Board in 2023 </w:t>
      </w:r>
    </w:p>
    <w:p w14:paraId="7823CEB3" w14:textId="61D75D17" w:rsidR="00B545DF" w:rsidRDefault="00C25C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8: Approve the plan on share </w:t>
      </w:r>
      <w:r w:rsidR="00C42ED2">
        <w:rPr>
          <w:rFonts w:ascii="Arial" w:hAnsi="Arial"/>
          <w:color w:val="010000"/>
          <w:sz w:val="20"/>
        </w:rPr>
        <w:t>issue</w:t>
      </w:r>
      <w:r>
        <w:rPr>
          <w:rFonts w:ascii="Arial" w:hAnsi="Arial"/>
          <w:color w:val="010000"/>
          <w:sz w:val="20"/>
        </w:rPr>
        <w:t xml:space="preserve"> for dividend payment in 2023:</w:t>
      </w:r>
    </w:p>
    <w:p w14:paraId="10BD935B" w14:textId="14FF77AD" w:rsidR="00B545DF" w:rsidRDefault="00C42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Issue</w:t>
      </w:r>
      <w:r w:rsidR="00C25CE0">
        <w:rPr>
          <w:rFonts w:ascii="Arial" w:hAnsi="Arial"/>
          <w:color w:val="010000"/>
          <w:sz w:val="20"/>
        </w:rPr>
        <w:t xml:space="preserve"> plan:</w:t>
      </w:r>
    </w:p>
    <w:p w14:paraId="53CAB3F1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 name: Shares of Vietnam National Reinsurance Corporation</w:t>
      </w:r>
    </w:p>
    <w:p w14:paraId="226612FF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VNR</w:t>
      </w:r>
    </w:p>
    <w:p w14:paraId="40F39070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Type of securities: Common shares</w:t>
      </w:r>
    </w:p>
    <w:p w14:paraId="5AF8DD52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Par value: VND 10,000/share</w:t>
      </w:r>
    </w:p>
    <w:p w14:paraId="184F7B51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issued common shares 165,810,617 shares</w:t>
      </w:r>
    </w:p>
    <w:p w14:paraId="3C3A94D0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outstanding common shares: 165,810,617 shares</w:t>
      </w:r>
    </w:p>
    <w:p w14:paraId="2E6BC6DB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treasury shares: 0 shares</w:t>
      </w:r>
    </w:p>
    <w:p w14:paraId="77B88A7C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Number of securities expected to be issued to pay dividend: 16,581,061 shares (equivalent to 10% of the outstanding shares)</w:t>
      </w:r>
    </w:p>
    <w:p w14:paraId="7DA5A975" w14:textId="173C2F34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Total </w:t>
      </w:r>
      <w:r w:rsidR="00C42ED2">
        <w:rPr>
          <w:rFonts w:ascii="Arial" w:hAnsi="Arial"/>
          <w:color w:val="010000"/>
          <w:sz w:val="20"/>
        </w:rPr>
        <w:t>issue</w:t>
      </w:r>
      <w:r>
        <w:rPr>
          <w:rFonts w:ascii="Arial" w:hAnsi="Arial"/>
          <w:color w:val="010000"/>
          <w:sz w:val="20"/>
        </w:rPr>
        <w:t xml:space="preserve"> value at par value: VND 165,810,610,000</w:t>
      </w:r>
    </w:p>
    <w:p w14:paraId="5762FBCB" w14:textId="3A8AD0F1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Expected charter capital after the </w:t>
      </w:r>
      <w:r w:rsidR="00C42ED2">
        <w:rPr>
          <w:rFonts w:ascii="Arial" w:hAnsi="Arial"/>
          <w:color w:val="010000"/>
          <w:sz w:val="20"/>
        </w:rPr>
        <w:t>issue</w:t>
      </w:r>
      <w:r>
        <w:rPr>
          <w:rFonts w:ascii="Arial" w:hAnsi="Arial"/>
          <w:color w:val="010000"/>
          <w:sz w:val="20"/>
        </w:rPr>
        <w:t xml:space="preserve">: VND 1,823,916,780,000 </w:t>
      </w:r>
    </w:p>
    <w:p w14:paraId="0B627231" w14:textId="5D252871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Subjects and method of </w:t>
      </w:r>
      <w:r w:rsidR="00C42ED2">
        <w:rPr>
          <w:rFonts w:ascii="Arial" w:hAnsi="Arial"/>
          <w:color w:val="010000"/>
          <w:sz w:val="20"/>
        </w:rPr>
        <w:t>issue</w:t>
      </w:r>
      <w:r>
        <w:rPr>
          <w:rFonts w:ascii="Arial" w:hAnsi="Arial"/>
          <w:color w:val="010000"/>
          <w:sz w:val="20"/>
        </w:rPr>
        <w:t xml:space="preserve">: Issue shares to pay dividends to </w:t>
      </w:r>
      <w:r w:rsidR="00C42ED2">
        <w:rPr>
          <w:rFonts w:ascii="Arial" w:hAnsi="Arial"/>
          <w:color w:val="010000"/>
          <w:sz w:val="20"/>
        </w:rPr>
        <w:t>outstanding</w:t>
      </w:r>
      <w:r>
        <w:rPr>
          <w:rFonts w:ascii="Arial" w:hAnsi="Arial"/>
          <w:color w:val="010000"/>
          <w:sz w:val="20"/>
        </w:rPr>
        <w:t xml:space="preserve"> shareholders (shareholders whose names are on the list of shareholders at the record time to allocate the rights to pay dividends by shares)</w:t>
      </w:r>
    </w:p>
    <w:p w14:paraId="5AC3744D" w14:textId="4F453BDA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Exercise rate: 10% (equivalent to the rate of 10:01), which means the shareholders who own 01 VNR share at the record time of the list receive 01 right, and for every 10 rights, the shareholders will receive 01 </w:t>
      </w:r>
      <w:proofErr w:type="gramStart"/>
      <w:r>
        <w:rPr>
          <w:rFonts w:ascii="Arial" w:hAnsi="Arial"/>
          <w:color w:val="010000"/>
          <w:sz w:val="20"/>
        </w:rPr>
        <w:t>dividend</w:t>
      </w:r>
      <w:proofErr w:type="gramEnd"/>
      <w:r>
        <w:rPr>
          <w:rFonts w:ascii="Arial" w:hAnsi="Arial"/>
          <w:color w:val="010000"/>
          <w:sz w:val="20"/>
        </w:rPr>
        <w:t xml:space="preserve"> whic</w:t>
      </w:r>
      <w:r w:rsidR="00C42ED2">
        <w:rPr>
          <w:rFonts w:ascii="Arial" w:hAnsi="Arial"/>
          <w:color w:val="010000"/>
          <w:sz w:val="20"/>
        </w:rPr>
        <w:t xml:space="preserve">h equal to 01 additional </w:t>
      </w:r>
      <w:r>
        <w:rPr>
          <w:rFonts w:ascii="Arial" w:hAnsi="Arial"/>
          <w:color w:val="010000"/>
          <w:sz w:val="20"/>
        </w:rPr>
        <w:t>share</w:t>
      </w:r>
      <w:r w:rsidR="00C42ED2">
        <w:rPr>
          <w:rFonts w:ascii="Arial" w:hAnsi="Arial"/>
          <w:color w:val="010000"/>
          <w:sz w:val="20"/>
        </w:rPr>
        <w:t>s issued</w:t>
      </w:r>
      <w:r>
        <w:rPr>
          <w:rFonts w:ascii="Arial" w:hAnsi="Arial"/>
          <w:color w:val="010000"/>
          <w:sz w:val="20"/>
        </w:rPr>
        <w:t>.</w:t>
      </w:r>
    </w:p>
    <w:p w14:paraId="17519826" w14:textId="1A844D0A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Rounding principle: The number of shares to pay dividend to shareholders will be rounded down to the unit, the fractional shares (decimal part) arising due to calculation principles will be </w:t>
      </w:r>
      <w:r w:rsidR="00C42ED2">
        <w:rPr>
          <w:rFonts w:ascii="Arial" w:hAnsi="Arial"/>
          <w:color w:val="010000"/>
          <w:sz w:val="20"/>
        </w:rPr>
        <w:t>disposed of</w:t>
      </w:r>
      <w:r>
        <w:rPr>
          <w:rFonts w:ascii="Arial" w:hAnsi="Arial"/>
          <w:color w:val="010000"/>
          <w:sz w:val="20"/>
        </w:rPr>
        <w:t>.</w:t>
      </w:r>
    </w:p>
    <w:p w14:paraId="3046AC0B" w14:textId="4CAA38F4" w:rsidR="00B545DF" w:rsidRDefault="00C25C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For example: On the record date of the list of shareholders to exercise the rights to receive dividends by shares, shareholder Nguyen Van A owns 123 shares. Shareholder A will enjoy 123 rights, these 123 </w:t>
      </w:r>
      <w:r>
        <w:rPr>
          <w:rFonts w:ascii="Arial" w:hAnsi="Arial"/>
          <w:color w:val="010000"/>
          <w:sz w:val="20"/>
        </w:rPr>
        <w:lastRenderedPageBreak/>
        <w:t xml:space="preserve">rights will receive the dividends of 123 * 10% = 12.3 shares According to the plan on handling fractional shares, the number of shares received by shareholder A after rounding down to the unit is 12 shares and the remaining fractional shares will be </w:t>
      </w:r>
      <w:r w:rsidR="00C42ED2">
        <w:rPr>
          <w:rFonts w:ascii="Arial" w:hAnsi="Arial"/>
          <w:color w:val="010000"/>
          <w:sz w:val="20"/>
        </w:rPr>
        <w:t>disposed of</w:t>
      </w:r>
      <w:r>
        <w:rPr>
          <w:rFonts w:ascii="Arial" w:hAnsi="Arial"/>
          <w:color w:val="010000"/>
          <w:sz w:val="20"/>
        </w:rPr>
        <w:t>.</w:t>
      </w:r>
    </w:p>
    <w:p w14:paraId="2242EB5A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Source of capital for implementation: The expected amount of VND 165,810,610,000 </w:t>
      </w:r>
      <w:proofErr w:type="gramStart"/>
      <w:r>
        <w:rPr>
          <w:rFonts w:ascii="Arial" w:hAnsi="Arial"/>
          <w:color w:val="010000"/>
          <w:sz w:val="20"/>
        </w:rPr>
        <w:t>are</w:t>
      </w:r>
      <w:proofErr w:type="gramEnd"/>
      <w:r>
        <w:rPr>
          <w:rFonts w:ascii="Arial" w:hAnsi="Arial"/>
          <w:color w:val="010000"/>
          <w:sz w:val="20"/>
        </w:rPr>
        <w:t xml:space="preserve"> appropriated from undistributed profit after tax as of December 31, 2023 according to the Audited Consolidated Financial Statements 2023.</w:t>
      </w:r>
    </w:p>
    <w:p w14:paraId="7C4BAEDD" w14:textId="77777777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Transfer restriction: Shares for dividend payment are common shares issued to existing shareholders as per rate and are not sub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jected to transfer restrictions. The rights to receive dividends by shares is not transferable.</w:t>
      </w:r>
    </w:p>
    <w:p w14:paraId="7E8045F3" w14:textId="501827F6" w:rsidR="00B545DF" w:rsidRDefault="00C2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Expected </w:t>
      </w:r>
      <w:r w:rsidR="00C42ED2">
        <w:rPr>
          <w:rFonts w:ascii="Arial" w:hAnsi="Arial"/>
          <w:color w:val="010000"/>
          <w:sz w:val="20"/>
        </w:rPr>
        <w:t>issue</w:t>
      </w:r>
      <w:r>
        <w:rPr>
          <w:rFonts w:ascii="Arial" w:hAnsi="Arial"/>
          <w:color w:val="010000"/>
          <w:sz w:val="20"/>
        </w:rPr>
        <w:t xml:space="preserve"> time: After having received opinions from competent state management agencies. Expected in Q3, Q4/2024</w:t>
      </w:r>
    </w:p>
    <w:p w14:paraId="1A086A40" w14:textId="77777777" w:rsidR="00B545DF" w:rsidRDefault="00C25C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9: Approve the method of selecting an independent audit company for 2024:</w:t>
      </w:r>
    </w:p>
    <w:p w14:paraId="4FE0CD2D" w14:textId="77777777" w:rsidR="00B545DF" w:rsidRDefault="00C25CE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the list of independent audit companies to choose to audit in 2024, including the following companies:</w:t>
      </w:r>
    </w:p>
    <w:p w14:paraId="7E2C0C76" w14:textId="77777777" w:rsidR="00B545DF" w:rsidRDefault="00C2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KPMG Limited.</w:t>
      </w:r>
    </w:p>
    <w:p w14:paraId="7AE71841" w14:textId="77777777" w:rsidR="00B545DF" w:rsidRDefault="00C2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Deloitte Vietnam Audit Company Limited</w:t>
      </w:r>
    </w:p>
    <w:p w14:paraId="0E9A6C87" w14:textId="77777777" w:rsidR="00B545DF" w:rsidRDefault="00C2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Ernst &amp; Young Viet Nam Limited</w:t>
      </w:r>
    </w:p>
    <w:p w14:paraId="554234B5" w14:textId="77777777" w:rsidR="00B545DF" w:rsidRDefault="00C2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PwC (Vietnam) Limited</w:t>
      </w:r>
    </w:p>
    <w:p w14:paraId="67ECF066" w14:textId="77777777" w:rsidR="00B545DF" w:rsidRDefault="00C25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Authorize the Board of Directors to decide to select 01 independent audit company in the approved list to audit the Financial Statements 2024.</w:t>
      </w:r>
    </w:p>
    <w:p w14:paraId="07CF616F" w14:textId="77777777" w:rsidR="00B545DF" w:rsidRDefault="00C25CE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10: This General Mandate takes effect from April 23, 2024. The Board of Directors and relevant units and individuals are responsible for the carrying out this General Mandate.</w:t>
      </w:r>
    </w:p>
    <w:sectPr w:rsidR="00B545DF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B9E"/>
    <w:multiLevelType w:val="multilevel"/>
    <w:tmpl w:val="7B0887D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C3C3E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92076F"/>
    <w:multiLevelType w:val="multilevel"/>
    <w:tmpl w:val="BBAC3A6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7047F4"/>
    <w:multiLevelType w:val="multilevel"/>
    <w:tmpl w:val="1CC87DC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6C28E1"/>
    <w:multiLevelType w:val="multilevel"/>
    <w:tmpl w:val="D6CCD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1B00FF"/>
    <w:multiLevelType w:val="multilevel"/>
    <w:tmpl w:val="DBB682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531416"/>
    <w:multiLevelType w:val="multilevel"/>
    <w:tmpl w:val="7D547B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200372"/>
    <w:multiLevelType w:val="multilevel"/>
    <w:tmpl w:val="A64AF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687BD8"/>
    <w:multiLevelType w:val="multilevel"/>
    <w:tmpl w:val="E1E46B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5234023"/>
    <w:multiLevelType w:val="multilevel"/>
    <w:tmpl w:val="7708F61E"/>
    <w:lvl w:ilvl="0">
      <w:start w:val="2"/>
      <w:numFmt w:val="decimal"/>
      <w:lvlText w:val="9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EF135C"/>
    <w:multiLevelType w:val="multilevel"/>
    <w:tmpl w:val="EA0A3B8A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DF"/>
    <w:rsid w:val="00B545DF"/>
    <w:rsid w:val="00C25CE0"/>
    <w:rsid w:val="00C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F276"/>
  <w15:docId w15:val="{660679AB-590D-4F0A-81ED-31009D93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E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A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E"/>
      <w:sz w:val="30"/>
      <w:szCs w:val="3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3C3C3E"/>
      <w:sz w:val="32"/>
      <w:szCs w:val="32"/>
      <w:u w:val="none"/>
      <w:shd w:val="clear" w:color="auto" w:fill="auto"/>
    </w:rPr>
  </w:style>
  <w:style w:type="paragraph" w:customStyle="1" w:styleId="Tiu30">
    <w:name w:val="Tiêu đề #3"/>
    <w:basedOn w:val="Normal"/>
    <w:link w:val="Tiu3"/>
    <w:pPr>
      <w:spacing w:after="270"/>
      <w:jc w:val="center"/>
      <w:outlineLvl w:val="2"/>
    </w:pPr>
    <w:rPr>
      <w:rFonts w:ascii="Times New Roman" w:eastAsia="Times New Roman" w:hAnsi="Times New Roman" w:cs="Times New Roman"/>
      <w:b/>
      <w:bCs/>
      <w:color w:val="3C3C3E"/>
    </w:rPr>
  </w:style>
  <w:style w:type="paragraph" w:customStyle="1" w:styleId="Vnbnnidung20">
    <w:name w:val="Văn bản nội dung (2)"/>
    <w:basedOn w:val="Normal"/>
    <w:link w:val="Vnbnnidung2"/>
    <w:pPr>
      <w:ind w:left="220"/>
    </w:pPr>
    <w:rPr>
      <w:rFonts w:ascii="Times New Roman" w:eastAsia="Times New Roman" w:hAnsi="Times New Roman" w:cs="Times New Roman"/>
      <w:color w:val="0101FA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after="100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spacing w:after="50" w:line="33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C3C3E"/>
      <w:sz w:val="30"/>
      <w:szCs w:val="30"/>
    </w:rPr>
  </w:style>
  <w:style w:type="paragraph" w:customStyle="1" w:styleId="Khc0">
    <w:name w:val="Khác"/>
    <w:basedOn w:val="Normal"/>
    <w:link w:val="Khc"/>
    <w:pPr>
      <w:spacing w:after="1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after="260" w:line="180" w:lineRule="auto"/>
      <w:jc w:val="center"/>
      <w:outlineLvl w:val="0"/>
    </w:pPr>
    <w:rPr>
      <w:rFonts w:ascii="Arial" w:eastAsia="Arial" w:hAnsi="Arial" w:cs="Arial"/>
      <w:color w:val="3C3C3E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9RsSEI/t4bK2uAJzW1dVs+SXmQ==">CgMxLjA4AHIhMUhZVFdLM0x0cDhqUFJyc0FwTFZIdk5KVC1INVBUZy1B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2024-05-03T12:31:00Z</dcterms:created>
  <dcterms:modified xsi:type="dcterms:W3CDTF">2024-05-03T12:31:00Z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7bd1512c8a7fa0b75e7778bc67ec3902db8ad26f1d0bd3ca53d7af02a1872948</vt:lpwstr>
  </property>
</Properties>
</file>