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74D18" w:rsidRDefault="008A49ED">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r>
        <w:rPr>
          <w:rFonts w:ascii="Arial" w:hAnsi="Arial"/>
          <w:b/>
          <w:color w:val="010000"/>
          <w:sz w:val="20"/>
        </w:rPr>
        <w:t>VSF: Annual General Mandate 2024</w:t>
      </w:r>
    </w:p>
    <w:p w14:paraId="00000002" w14:textId="77777777" w:rsidR="00F74D18" w:rsidRDefault="008A49E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On April 24, 2024, Vietnam Southern Food Corporation - JSC announced Mandate No. 02/2024/VSF-DHDCD as follows:</w:t>
      </w:r>
    </w:p>
    <w:p w14:paraId="00000003" w14:textId="77777777" w:rsidR="00F74D18" w:rsidRDefault="008A49E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‎‎Article 1. Approve the Report of the Board of Directors on the governance and the activities of the Board of Directors in 2023; </w:t>
      </w:r>
    </w:p>
    <w:p w14:paraId="00000004" w14:textId="77777777" w:rsidR="00F74D18" w:rsidRDefault="008A49E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 the production and business results in 2023 are as follows:</w:t>
      </w:r>
    </w:p>
    <w:p w14:paraId="00000005" w14:textId="77777777" w:rsidR="00F74D18" w:rsidRDefault="008A49ED">
      <w:pPr>
        <w:numPr>
          <w:ilvl w:val="0"/>
          <w:numId w:val="3"/>
        </w:numPr>
        <w:pBdr>
          <w:top w:val="nil"/>
          <w:left w:val="nil"/>
          <w:bottom w:val="nil"/>
          <w:right w:val="nil"/>
          <w:between w:val="nil"/>
        </w:pBdr>
        <w:tabs>
          <w:tab w:val="left" w:pos="432"/>
          <w:tab w:val="left" w:pos="793"/>
        </w:tabs>
        <w:spacing w:after="120" w:line="360" w:lineRule="auto"/>
        <w:rPr>
          <w:rFonts w:ascii="Arial" w:eastAsia="Arial" w:hAnsi="Arial" w:cs="Arial"/>
          <w:color w:val="010000"/>
          <w:sz w:val="20"/>
          <w:szCs w:val="20"/>
        </w:rPr>
      </w:pPr>
      <w:r>
        <w:rPr>
          <w:rFonts w:ascii="Arial" w:hAnsi="Arial"/>
          <w:color w:val="010000"/>
          <w:sz w:val="20"/>
        </w:rPr>
        <w:t xml:space="preserve">The total output of rice sold 2023 is 1,578,448 tons, completing 175.09% of the year plan. </w:t>
      </w:r>
    </w:p>
    <w:p w14:paraId="00000006" w14:textId="77777777" w:rsidR="00F74D18" w:rsidRDefault="008A49ED">
      <w:pPr>
        <w:numPr>
          <w:ilvl w:val="0"/>
          <w:numId w:val="3"/>
        </w:numPr>
        <w:pBdr>
          <w:top w:val="nil"/>
          <w:left w:val="nil"/>
          <w:bottom w:val="nil"/>
          <w:right w:val="nil"/>
          <w:between w:val="nil"/>
        </w:pBdr>
        <w:tabs>
          <w:tab w:val="left" w:pos="432"/>
          <w:tab w:val="left" w:pos="793"/>
        </w:tabs>
        <w:spacing w:after="120" w:line="360" w:lineRule="auto"/>
        <w:rPr>
          <w:rFonts w:ascii="Arial" w:eastAsia="Arial" w:hAnsi="Arial" w:cs="Arial"/>
          <w:color w:val="010000"/>
          <w:sz w:val="20"/>
          <w:szCs w:val="20"/>
        </w:rPr>
      </w:pPr>
      <w:r>
        <w:rPr>
          <w:rFonts w:ascii="Arial" w:hAnsi="Arial"/>
          <w:color w:val="010000"/>
          <w:sz w:val="20"/>
        </w:rPr>
        <w:t xml:space="preserve">Total revenue reached VND 23,349.177 billion, completing 152.36% of the year plan Including the Holding Company’s revenue is VND 12,758.634 billion (accounting the rate for 54.64% per the Company’s total revenue), completing 146.64% of the year plan. </w:t>
      </w:r>
    </w:p>
    <w:p w14:paraId="00000007" w14:textId="77777777" w:rsidR="00F74D18" w:rsidRDefault="008A49ED">
      <w:pPr>
        <w:numPr>
          <w:ilvl w:val="0"/>
          <w:numId w:val="3"/>
        </w:numPr>
        <w:pBdr>
          <w:top w:val="nil"/>
          <w:left w:val="nil"/>
          <w:bottom w:val="nil"/>
          <w:right w:val="nil"/>
          <w:between w:val="nil"/>
        </w:pBdr>
        <w:tabs>
          <w:tab w:val="left" w:pos="432"/>
          <w:tab w:val="left" w:pos="793"/>
        </w:tabs>
        <w:spacing w:after="120" w:line="360" w:lineRule="auto"/>
        <w:rPr>
          <w:rFonts w:ascii="Arial" w:eastAsia="Arial" w:hAnsi="Arial" w:cs="Arial"/>
          <w:color w:val="010000"/>
          <w:sz w:val="20"/>
          <w:szCs w:val="20"/>
        </w:rPr>
      </w:pPr>
      <w:r>
        <w:rPr>
          <w:rFonts w:ascii="Arial" w:hAnsi="Arial"/>
          <w:color w:val="010000"/>
          <w:sz w:val="20"/>
        </w:rPr>
        <w:t>Profit 2023 reached VND 122.162 billion, completing 121.46% of the year plan Including the Holding Company’s revenue reached VND 3.567 billion, achieving 142.68% of the year plan</w:t>
      </w:r>
    </w:p>
    <w:p w14:paraId="00000008" w14:textId="77777777" w:rsidR="00F74D18" w:rsidRDefault="008A49E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‎‎Article 2. Approve Report of the Supervisory Board on the Company’s business results, results of executive activities the Board of Directors, the General Manager 2023; </w:t>
      </w:r>
    </w:p>
    <w:p w14:paraId="00000009" w14:textId="77777777" w:rsidR="00F74D18" w:rsidRDefault="008A49E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‎‎Article 3. Approve the Report on the self-evaluation of the activities of the Supervisory Board  </w:t>
      </w:r>
    </w:p>
    <w:p w14:paraId="0000000A" w14:textId="77777777" w:rsidR="00F74D18" w:rsidRDefault="008A49E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‎‎Article 4. Approve the production and business plan, the investment and development plan 2024 of the Holding Company - the Corporation following to the Proposal No. 07/TTr-LTMN-HDQT dated April 23, 2024 of the Corporation’s Board of Directors, with main targets as follows: </w:t>
      </w:r>
    </w:p>
    <w:p w14:paraId="0000000B" w14:textId="77777777" w:rsidR="00F74D18" w:rsidRDefault="008A49ED">
      <w:pPr>
        <w:numPr>
          <w:ilvl w:val="0"/>
          <w:numId w:val="1"/>
        </w:numPr>
        <w:pBdr>
          <w:top w:val="nil"/>
          <w:left w:val="nil"/>
          <w:bottom w:val="nil"/>
          <w:right w:val="nil"/>
          <w:between w:val="nil"/>
        </w:pBdr>
        <w:tabs>
          <w:tab w:val="left" w:pos="432"/>
          <w:tab w:val="left" w:pos="878"/>
        </w:tabs>
        <w:spacing w:after="120" w:line="360" w:lineRule="auto"/>
        <w:rPr>
          <w:rFonts w:ascii="Arial" w:eastAsia="Arial" w:hAnsi="Arial" w:cs="Arial"/>
          <w:color w:val="010000"/>
          <w:sz w:val="20"/>
          <w:szCs w:val="20"/>
        </w:rPr>
      </w:pPr>
      <w:r>
        <w:rPr>
          <w:rFonts w:ascii="Arial" w:hAnsi="Arial"/>
          <w:color w:val="010000"/>
          <w:sz w:val="20"/>
        </w:rPr>
        <w:t>Total revenue: VND 9,500,000 million.</w:t>
      </w:r>
    </w:p>
    <w:p w14:paraId="0000000C" w14:textId="77777777" w:rsidR="00F74D18" w:rsidRDefault="008A49ED">
      <w:pPr>
        <w:numPr>
          <w:ilvl w:val="0"/>
          <w:numId w:val="1"/>
        </w:numPr>
        <w:pBdr>
          <w:top w:val="nil"/>
          <w:left w:val="nil"/>
          <w:bottom w:val="nil"/>
          <w:right w:val="nil"/>
          <w:between w:val="nil"/>
        </w:pBdr>
        <w:tabs>
          <w:tab w:val="left" w:pos="432"/>
          <w:tab w:val="left" w:pos="907"/>
        </w:tabs>
        <w:spacing w:after="120" w:line="360" w:lineRule="auto"/>
        <w:rPr>
          <w:rFonts w:ascii="Arial" w:eastAsia="Arial" w:hAnsi="Arial" w:cs="Arial"/>
          <w:color w:val="010000"/>
          <w:sz w:val="20"/>
          <w:szCs w:val="20"/>
        </w:rPr>
      </w:pPr>
      <w:r>
        <w:rPr>
          <w:rFonts w:ascii="Arial" w:hAnsi="Arial"/>
          <w:color w:val="010000"/>
          <w:sz w:val="20"/>
        </w:rPr>
        <w:t>Profit before tax: VND 3,600 million.</w:t>
      </w:r>
    </w:p>
    <w:p w14:paraId="0000000D" w14:textId="5885D399" w:rsidR="00F74D18" w:rsidRDefault="00F0576C">
      <w:pPr>
        <w:numPr>
          <w:ilvl w:val="0"/>
          <w:numId w:val="1"/>
        </w:numPr>
        <w:pBdr>
          <w:top w:val="nil"/>
          <w:left w:val="nil"/>
          <w:bottom w:val="nil"/>
          <w:right w:val="nil"/>
          <w:between w:val="nil"/>
        </w:pBdr>
        <w:tabs>
          <w:tab w:val="left" w:pos="432"/>
          <w:tab w:val="left" w:pos="907"/>
        </w:tabs>
        <w:spacing w:after="120" w:line="360" w:lineRule="auto"/>
        <w:rPr>
          <w:rFonts w:ascii="Arial" w:eastAsia="Arial" w:hAnsi="Arial" w:cs="Arial"/>
          <w:color w:val="010000"/>
          <w:sz w:val="20"/>
          <w:szCs w:val="20"/>
        </w:rPr>
      </w:pPr>
      <w:r>
        <w:rPr>
          <w:rFonts w:ascii="Arial" w:hAnsi="Arial"/>
          <w:color w:val="010000"/>
          <w:sz w:val="20"/>
        </w:rPr>
        <w:t>C</w:t>
      </w:r>
      <w:bookmarkStart w:id="0" w:name="_GoBack"/>
      <w:bookmarkEnd w:id="0"/>
      <w:r w:rsidR="008A49ED">
        <w:rPr>
          <w:rFonts w:ascii="Arial" w:hAnsi="Arial"/>
          <w:color w:val="010000"/>
          <w:sz w:val="20"/>
        </w:rPr>
        <w:t>apital construction investment: VND 71,161 million.</w:t>
      </w:r>
    </w:p>
    <w:p w14:paraId="0000000E" w14:textId="77777777" w:rsidR="00F74D18" w:rsidRDefault="008A49E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(The production and business targets, the investment and development targets do not include objective and uncontrollable factors emerged in the fiscal year 2024). </w:t>
      </w:r>
    </w:p>
    <w:p w14:paraId="0000000F" w14:textId="77777777" w:rsidR="00F74D18" w:rsidRDefault="008A49E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‎‎Article 5. Approve the Holding Company’s Separate Financial Statements 2023 audited at Report No. 157/2024/BCKT-CPA VIETNAM-NV2 and the Consolidated Financial Statements 2023 of Vietnam Southern Food Corporation - Joint Stock Company audited at Report No. 15 8/2024/BCKTHN-CPA VIETNAM-NV2 dated March 25, 2024.</w:t>
      </w:r>
    </w:p>
    <w:p w14:paraId="00000010" w14:textId="77777777" w:rsidR="00F74D18" w:rsidRDefault="008A49E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‎‎Article 6. Approve the Proposal No. 09/TTr-LTMN-HDQT dated April 23, 2024 of the Corporation’s Board of Directors on profit distribution 2023 and the profit distribution plan 2024 of the Holding Company.  Including 2023 and the Holding Company’s plan 2024 remained the accumulated loss so there is no enough condition for appropriation for funds, profit distribution and dividend payment following to the regulations of the Law on Enterprises and the Corporation’s organization Charter and activities. </w:t>
      </w:r>
    </w:p>
    <w:p w14:paraId="00000011" w14:textId="77777777" w:rsidR="00F74D18" w:rsidRDefault="008A49ED">
      <w:pPr>
        <w:numPr>
          <w:ilvl w:val="0"/>
          <w:numId w:val="2"/>
        </w:numPr>
        <w:pBdr>
          <w:top w:val="nil"/>
          <w:left w:val="nil"/>
          <w:bottom w:val="nil"/>
          <w:right w:val="nil"/>
          <w:between w:val="nil"/>
        </w:pBdr>
        <w:tabs>
          <w:tab w:val="left" w:pos="432"/>
          <w:tab w:val="left" w:pos="1167"/>
        </w:tabs>
        <w:spacing w:after="120" w:line="360" w:lineRule="auto"/>
        <w:rPr>
          <w:rFonts w:ascii="Arial" w:eastAsia="Arial" w:hAnsi="Arial" w:cs="Arial"/>
          <w:color w:val="010000"/>
          <w:sz w:val="20"/>
          <w:szCs w:val="20"/>
        </w:rPr>
      </w:pPr>
      <w:r>
        <w:rPr>
          <w:rFonts w:ascii="Arial" w:hAnsi="Arial"/>
          <w:color w:val="010000"/>
          <w:sz w:val="20"/>
        </w:rPr>
        <w:t>Plan on profit distribution 2023;</w:t>
      </w:r>
    </w:p>
    <w:p w14:paraId="00000012" w14:textId="77777777" w:rsidR="00F74D18" w:rsidRDefault="008A49E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lastRenderedPageBreak/>
        <w:t>Profit after tax on the Financial Statements of the Holding Company: VND 3.56 billion;</w:t>
      </w:r>
    </w:p>
    <w:p w14:paraId="00000013" w14:textId="77777777" w:rsidR="00F74D18" w:rsidRDefault="008A49E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In 2023, although the production and business activities of the Holding Company made profits but still remained the accumulated loss until dated December 31, 2023 as VND 2,645.85 billion resulting in not implementing appropriation for funds and dividend payment. </w:t>
      </w:r>
    </w:p>
    <w:p w14:paraId="00000014" w14:textId="77777777" w:rsidR="00F74D18" w:rsidRDefault="008A49ED">
      <w:pPr>
        <w:numPr>
          <w:ilvl w:val="0"/>
          <w:numId w:val="2"/>
        </w:numPr>
        <w:pBdr>
          <w:top w:val="nil"/>
          <w:left w:val="nil"/>
          <w:bottom w:val="nil"/>
          <w:right w:val="nil"/>
          <w:between w:val="nil"/>
        </w:pBdr>
        <w:tabs>
          <w:tab w:val="left" w:pos="432"/>
          <w:tab w:val="left" w:pos="1177"/>
        </w:tabs>
        <w:spacing w:after="120" w:line="360" w:lineRule="auto"/>
        <w:rPr>
          <w:rFonts w:ascii="Arial" w:eastAsia="Arial" w:hAnsi="Arial" w:cs="Arial"/>
          <w:color w:val="010000"/>
          <w:sz w:val="20"/>
          <w:szCs w:val="20"/>
        </w:rPr>
      </w:pPr>
      <w:r>
        <w:rPr>
          <w:rFonts w:ascii="Arial" w:hAnsi="Arial"/>
          <w:color w:val="010000"/>
          <w:sz w:val="20"/>
        </w:rPr>
        <w:t>Profit distribution plan 2024:</w:t>
      </w:r>
    </w:p>
    <w:p w14:paraId="00000015" w14:textId="77777777" w:rsidR="00F74D18" w:rsidRDefault="008A49E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According to the production and business plan 2024, the Holding Company’s profit after tax reached: VND 3.6 billion;</w:t>
      </w:r>
    </w:p>
    <w:p w14:paraId="00000016" w14:textId="77777777" w:rsidR="00F74D18" w:rsidRDefault="008A49E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As a result, until dated December 31, 2024, the Holding Company still remains the accumulated loss as VND 2,642.25 billion resulting in not implementing appropriation for funds and profit distribution. </w:t>
      </w:r>
    </w:p>
    <w:p w14:paraId="00000017" w14:textId="77777777" w:rsidR="00F74D18" w:rsidRDefault="008A49E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‎‎Article 7. Approve Proposal No. 10/TTr-HDQT dated April 23, 2024 of the Board of Directors on salary/remuneration of the Board of Directors, the Supervisory Board 2023 and Plan for payment of salary/remuneration 2024. In which:</w:t>
      </w:r>
    </w:p>
    <w:p w14:paraId="00000018" w14:textId="4255F55C" w:rsidR="00F74D18" w:rsidRDefault="008A49ED">
      <w:pPr>
        <w:numPr>
          <w:ilvl w:val="0"/>
          <w:numId w:val="4"/>
        </w:numPr>
        <w:pBdr>
          <w:top w:val="nil"/>
          <w:left w:val="nil"/>
          <w:bottom w:val="nil"/>
          <w:right w:val="nil"/>
          <w:between w:val="nil"/>
        </w:pBdr>
        <w:tabs>
          <w:tab w:val="left" w:pos="432"/>
          <w:tab w:val="left" w:pos="814"/>
        </w:tabs>
        <w:spacing w:after="120" w:line="360" w:lineRule="auto"/>
        <w:rPr>
          <w:rFonts w:ascii="Arial" w:eastAsia="Arial" w:hAnsi="Arial" w:cs="Arial"/>
          <w:color w:val="010000"/>
          <w:sz w:val="20"/>
          <w:szCs w:val="20"/>
        </w:rPr>
      </w:pPr>
      <w:r>
        <w:rPr>
          <w:rFonts w:ascii="Arial" w:hAnsi="Arial"/>
          <w:color w:val="010000"/>
          <w:sz w:val="20"/>
        </w:rPr>
        <w:t>Realized salary and remuneration fund of the corporate managers in 2020: VND 4,878.63 million.</w:t>
      </w:r>
    </w:p>
    <w:p w14:paraId="00000019" w14:textId="77777777" w:rsidR="00F74D18" w:rsidRDefault="008A49ED">
      <w:pPr>
        <w:numPr>
          <w:ilvl w:val="0"/>
          <w:numId w:val="4"/>
        </w:numPr>
        <w:pBdr>
          <w:top w:val="nil"/>
          <w:left w:val="nil"/>
          <w:bottom w:val="nil"/>
          <w:right w:val="nil"/>
          <w:between w:val="nil"/>
        </w:pBdr>
        <w:tabs>
          <w:tab w:val="left" w:pos="432"/>
          <w:tab w:val="left" w:pos="810"/>
        </w:tabs>
        <w:spacing w:after="120" w:line="360" w:lineRule="auto"/>
        <w:rPr>
          <w:rFonts w:ascii="Arial" w:eastAsia="Arial" w:hAnsi="Arial" w:cs="Arial"/>
          <w:color w:val="010000"/>
          <w:sz w:val="20"/>
          <w:szCs w:val="20"/>
        </w:rPr>
      </w:pPr>
      <w:r>
        <w:rPr>
          <w:rFonts w:ascii="Arial" w:hAnsi="Arial"/>
          <w:color w:val="010000"/>
          <w:sz w:val="20"/>
        </w:rPr>
        <w:t xml:space="preserve"> The manager’s salary and plan remuneration fund for 2024: VND 5,143.60 million.</w:t>
      </w:r>
    </w:p>
    <w:p w14:paraId="0000001A" w14:textId="47305217" w:rsidR="00F74D18" w:rsidRDefault="008A49ED">
      <w:pPr>
        <w:pBdr>
          <w:top w:val="nil"/>
          <w:left w:val="nil"/>
          <w:bottom w:val="nil"/>
          <w:right w:val="nil"/>
          <w:between w:val="nil"/>
        </w:pBdr>
        <w:tabs>
          <w:tab w:val="left" w:pos="432"/>
        </w:tabs>
        <w:spacing w:after="120" w:line="360" w:lineRule="auto"/>
        <w:rPr>
          <w:rFonts w:ascii="Arial" w:hAnsi="Arial"/>
          <w:color w:val="010000"/>
          <w:sz w:val="20"/>
        </w:rPr>
      </w:pPr>
      <w:r>
        <w:rPr>
          <w:rFonts w:ascii="Arial" w:hAnsi="Arial"/>
          <w:color w:val="010000"/>
          <w:sz w:val="20"/>
        </w:rPr>
        <w:t xml:space="preserve">‎‎Article 8. Approve the list of independent audit company following to the Proposal No. 09/TTr-LTMN-BKS dated April 23, 2024 of the Corporation’s Supervisory Board.  Delegate the Corporation's Board of Directors on selection of independent audit company in the above list approved to implement assessment on the Semi-Annual Financial Statements and auditing the Financial Statements 2024 of the Corporation. </w:t>
      </w:r>
    </w:p>
    <w:p w14:paraId="23CA21A9" w14:textId="79BC85E3" w:rsidR="008A49ED" w:rsidRDefault="008A49ED">
      <w:pPr>
        <w:pBdr>
          <w:top w:val="nil"/>
          <w:left w:val="nil"/>
          <w:bottom w:val="nil"/>
          <w:right w:val="nil"/>
          <w:between w:val="nil"/>
        </w:pBdr>
        <w:tabs>
          <w:tab w:val="left" w:pos="432"/>
        </w:tabs>
        <w:spacing w:after="120" w:line="360" w:lineRule="auto"/>
        <w:rPr>
          <w:rFonts w:ascii="Arial" w:hAnsi="Arial"/>
          <w:color w:val="010000"/>
          <w:sz w:val="20"/>
        </w:rPr>
      </w:pPr>
      <w:r>
        <w:rPr>
          <w:rFonts w:ascii="Arial" w:hAnsi="Arial"/>
          <w:color w:val="010000"/>
          <w:sz w:val="20"/>
        </w:rPr>
        <w:t>The full-text General Mandate was approved by the Annual General Meeting of Shareholders 2024.</w:t>
      </w:r>
    </w:p>
    <w:p w14:paraId="7B3B4103" w14:textId="77777777" w:rsidR="008A49ED" w:rsidRDefault="008A49ED">
      <w:pPr>
        <w:pBdr>
          <w:top w:val="nil"/>
          <w:left w:val="nil"/>
          <w:bottom w:val="nil"/>
          <w:right w:val="nil"/>
          <w:between w:val="nil"/>
        </w:pBdr>
        <w:tabs>
          <w:tab w:val="left" w:pos="432"/>
        </w:tabs>
        <w:spacing w:after="120" w:line="360" w:lineRule="auto"/>
        <w:rPr>
          <w:rFonts w:ascii="Arial" w:hAnsi="Arial"/>
          <w:color w:val="010000"/>
          <w:sz w:val="20"/>
        </w:rPr>
      </w:pPr>
      <w:r>
        <w:rPr>
          <w:rFonts w:ascii="Arial" w:hAnsi="Arial"/>
          <w:color w:val="010000"/>
          <w:sz w:val="20"/>
        </w:rPr>
        <w:t>The Board of Directors, the Supervisory Board, the Board of Management of the Corporation and related organizations, individuals are responsible for implementing this General Mandate.</w:t>
      </w:r>
    </w:p>
    <w:p w14:paraId="50694615" w14:textId="61BA7413" w:rsidR="008A49ED" w:rsidRDefault="008A49E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This General Mandate takes effect from the date of its signing.  </w:t>
      </w:r>
    </w:p>
    <w:p w14:paraId="0000001B" w14:textId="77777777" w:rsidR="00F74D18" w:rsidRDefault="00F74D1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p>
    <w:sectPr w:rsidR="00F74D18">
      <w:pgSz w:w="11909" w:h="16840"/>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4F7357"/>
    <w:multiLevelType w:val="multilevel"/>
    <w:tmpl w:val="55FE690E"/>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8B25572"/>
    <w:multiLevelType w:val="multilevel"/>
    <w:tmpl w:val="98C08BD4"/>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AB926AB"/>
    <w:multiLevelType w:val="multilevel"/>
    <w:tmpl w:val="3E2A4444"/>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604E630B"/>
    <w:multiLevelType w:val="multilevel"/>
    <w:tmpl w:val="C074D0F8"/>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D18"/>
    <w:rsid w:val="008A49ED"/>
    <w:rsid w:val="00BC688D"/>
    <w:rsid w:val="00F0576C"/>
    <w:rsid w:val="00F74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A399"/>
  <w15:docId w15:val="{2BC14D19-EB2D-4858-8E58-E532F9E6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sz w:val="36"/>
      <w:szCs w:val="36"/>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16"/>
      <w:szCs w:val="1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spacing w:line="271" w:lineRule="auto"/>
      <w:ind w:firstLine="400"/>
    </w:pPr>
    <w:rPr>
      <w:rFonts w:ascii="Times New Roman" w:eastAsia="Times New Roman" w:hAnsi="Times New Roman" w:cs="Times New Roman"/>
      <w:sz w:val="26"/>
      <w:szCs w:val="26"/>
    </w:rPr>
  </w:style>
  <w:style w:type="paragraph" w:customStyle="1" w:styleId="Vnbnnidung40">
    <w:name w:val="Văn bản nội dung (4)"/>
    <w:basedOn w:val="Normal"/>
    <w:link w:val="Vnbnnidung4"/>
    <w:pPr>
      <w:jc w:val="right"/>
    </w:pPr>
    <w:rPr>
      <w:rFonts w:ascii="Times New Roman" w:eastAsia="Times New Roman" w:hAnsi="Times New Roman" w:cs="Times New Roman"/>
      <w:sz w:val="36"/>
      <w:szCs w:val="36"/>
    </w:rPr>
  </w:style>
  <w:style w:type="paragraph" w:customStyle="1" w:styleId="Vnbnnidung30">
    <w:name w:val="Văn bản nội dung (3)"/>
    <w:basedOn w:val="Normal"/>
    <w:link w:val="Vnbnnidung3"/>
    <w:pPr>
      <w:spacing w:line="386" w:lineRule="auto"/>
    </w:pPr>
    <w:rPr>
      <w:rFonts w:ascii="Arial" w:eastAsia="Arial" w:hAnsi="Arial" w:cs="Arial"/>
      <w:sz w:val="16"/>
      <w:szCs w:val="16"/>
    </w:rPr>
  </w:style>
  <w:style w:type="paragraph" w:customStyle="1" w:styleId="Tiu10">
    <w:name w:val="Tiêu đề #1"/>
    <w:basedOn w:val="Normal"/>
    <w:link w:val="Tiu1"/>
    <w:pPr>
      <w:spacing w:line="223" w:lineRule="auto"/>
      <w:jc w:val="center"/>
      <w:outlineLvl w:val="0"/>
    </w:pPr>
    <w:rPr>
      <w:rFonts w:ascii="Times New Roman" w:eastAsia="Times New Roman" w:hAnsi="Times New Roman" w:cs="Times New Roman"/>
      <w:b/>
      <w:bCs/>
      <w:sz w:val="30"/>
      <w:szCs w:val="30"/>
    </w:rPr>
  </w:style>
  <w:style w:type="paragraph" w:customStyle="1" w:styleId="Chthchbng0">
    <w:name w:val="Chú thích bảng"/>
    <w:basedOn w:val="Normal"/>
    <w:link w:val="Chthchbng"/>
    <w:rPr>
      <w:rFonts w:ascii="Times New Roman" w:eastAsia="Times New Roman" w:hAnsi="Times New Roman" w:cs="Times New Roman"/>
      <w:b/>
      <w:bCs/>
      <w:sz w:val="26"/>
      <w:szCs w:val="26"/>
    </w:rPr>
  </w:style>
  <w:style w:type="paragraph" w:customStyle="1" w:styleId="Khc0">
    <w:name w:val="Khác"/>
    <w:basedOn w:val="Normal"/>
    <w:link w:val="Khc"/>
    <w:pPr>
      <w:spacing w:line="271" w:lineRule="auto"/>
      <w:ind w:firstLine="400"/>
    </w:pPr>
    <w:rPr>
      <w:rFonts w:ascii="Times New Roman" w:eastAsia="Times New Roman" w:hAnsi="Times New Roman" w:cs="Times New Roman"/>
      <w:sz w:val="26"/>
      <w:szCs w:val="26"/>
    </w:rPr>
  </w:style>
  <w:style w:type="paragraph" w:customStyle="1" w:styleId="Vnbnnidung20">
    <w:name w:val="Văn bản nội dung (2)"/>
    <w:basedOn w:val="Normal"/>
    <w:link w:val="Vnbnnidung2"/>
    <w:pPr>
      <w:ind w:firstLine="180"/>
    </w:pPr>
    <w:rPr>
      <w:rFonts w:ascii="Times New Roman" w:eastAsia="Times New Roman" w:hAnsi="Times New Roman" w:cs="Times New Roman"/>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4qBR5q85m4tlmB3PeBWxWV2Skg==">CgMxLjA4AHIhMWprNUJ2V1I5b2FfZ21LXzJURVVGeDVuSDZMUXNOZ1ZD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659</Words>
  <Characters>3758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Bich Thuy</cp:lastModifiedBy>
  <cp:revision>5</cp:revision>
  <dcterms:created xsi:type="dcterms:W3CDTF">2024-04-29T08:44:00Z</dcterms:created>
  <dcterms:modified xsi:type="dcterms:W3CDTF">2024-05-03T08:04:00Z</dcterms:modified>
</cp:coreProperties>
</file>