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VTQ: Annual General Mandate 2024</w:t>
      </w:r>
    </w:p>
    <w:p w14:paraId="00000002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On April 25, 2024, Viet Trung Quang Binh Joint Stock Company announced General Mandate No. 01/2024/NQ-DHDCD as follows:</w:t>
      </w:r>
    </w:p>
    <w:p w14:paraId="00000003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</w:t>
      </w:r>
    </w:p>
    <w:p w14:paraId="00000004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Report on production and business activities in 2023 and the implementation of tasks and orientations for 2024.</w:t>
      </w:r>
    </w:p>
    <w:p w14:paraId="00000005" w14:textId="77777777" w:rsidR="0023375C" w:rsidRDefault="007B14B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Business Results of 2023:</w:t>
      </w:r>
    </w:p>
    <w:p w14:paraId="00000006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1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Total revenue of the Company: </w:t>
      </w:r>
      <w:r>
        <w:rPr>
          <w:rFonts w:ascii="Arial" w:hAnsi="Arial"/>
          <w:sz w:val="20"/>
        </w:rPr>
        <w:t>Achieved VND 64.83 billion, reaching 76.27% of the assigned plan and equal to 83.78% compared to that of 2022.</w:t>
      </w:r>
    </w:p>
    <w:p w14:paraId="00000007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1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Profit: Achieved VND 101.44 million in the Company's main production sector, still incurring losses due to having to make provisions for capital </w:t>
      </w:r>
      <w:r>
        <w:rPr>
          <w:rFonts w:ascii="Arial" w:hAnsi="Arial"/>
          <w:sz w:val="20"/>
        </w:rPr>
        <w:t>contributions with Hoa Phat Quang Binh Industrial Company and Tamico Company.</w:t>
      </w:r>
    </w:p>
    <w:p w14:paraId="00000008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1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Payment to the State budget:  VND 5.5 billion, reaching 103% of the assigned plan.</w:t>
      </w:r>
    </w:p>
    <w:p w14:paraId="00000009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Fully and promptly implementing policies and regimes for employees. The total amount paid for s</w:t>
      </w:r>
      <w:r>
        <w:rPr>
          <w:rFonts w:ascii="Arial" w:hAnsi="Arial"/>
          <w:sz w:val="20"/>
        </w:rPr>
        <w:t>ocial insurance in the year was VND 9.94 billion, reaching 101% of the plan. During the year, fully paid all policies and regimes for employees.</w:t>
      </w:r>
    </w:p>
    <w:p w14:paraId="0000000A" w14:textId="77777777" w:rsidR="0023375C" w:rsidRDefault="007B1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4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Tasks and orientation in 2024</w:t>
      </w:r>
    </w:p>
    <w:p w14:paraId="0000000B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revenue of the Company strives to reach over VND 91 billion. In which:</w:t>
      </w:r>
    </w:p>
    <w:p w14:paraId="0000000C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61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Revenue from rubber latex:</w:t>
      </w:r>
      <w:r>
        <w:rPr>
          <w:rFonts w:ascii="Arial" w:hAnsi="Arial"/>
          <w:sz w:val="20"/>
        </w:rPr>
        <w:tab/>
        <w:t>VND 60 - 65 billion</w:t>
      </w:r>
    </w:p>
    <w:p w14:paraId="0000000D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61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Revenue from wood industry: </w:t>
      </w:r>
      <w:r>
        <w:rPr>
          <w:rFonts w:ascii="Arial" w:hAnsi="Arial"/>
          <w:sz w:val="20"/>
        </w:rPr>
        <w:tab/>
        <w:t>VND 20 - 25 billion</w:t>
      </w:r>
    </w:p>
    <w:p w14:paraId="0000000E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66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Revenue from wood chip production:</w:t>
      </w:r>
      <w:r>
        <w:rPr>
          <w:rFonts w:ascii="Arial" w:hAnsi="Arial"/>
          <w:sz w:val="20"/>
        </w:rPr>
        <w:tab/>
        <w:t>VND 5 - 10 billion</w:t>
      </w:r>
    </w:p>
    <w:p w14:paraId="0000000F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Revenue from financial activities and other income:  VND 6.5 - 7 billion.</w:t>
      </w:r>
    </w:p>
    <w:p w14:paraId="00000010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Profit: Strive for a profit of VND 500 million or more.</w:t>
      </w:r>
    </w:p>
    <w:p w14:paraId="00000011" w14:textId="77777777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Fully pay the State budget obligations of over VND 5.7 billion.</w:t>
      </w:r>
    </w:p>
    <w:p w14:paraId="00000012" w14:textId="6465F47A" w:rsidR="0023375C" w:rsidRDefault="007B1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Fully pay according to the arising amounts for employee polici</w:t>
      </w:r>
      <w:r>
        <w:rPr>
          <w:rFonts w:ascii="Arial" w:hAnsi="Arial"/>
          <w:sz w:val="20"/>
        </w:rPr>
        <w:t>es and regimes (social insurance, health insurance, unemployment insurance) over VND 10 billion in the year.</w:t>
      </w:r>
    </w:p>
    <w:p w14:paraId="00000013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Report on the activities of the Board of Directors in 2023 and the operational plan in 2024.</w:t>
      </w:r>
    </w:p>
    <w:p w14:paraId="00000014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Report on activities of the Supervisory Board in 2023, the orientation and tasks for 2024.</w:t>
      </w:r>
    </w:p>
    <w:p w14:paraId="00000015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Audited Financial Statements in 2023</w:t>
      </w:r>
      <w:r>
        <w:rPr>
          <w:rFonts w:ascii="Arial" w:hAnsi="Arial"/>
          <w:sz w:val="20"/>
        </w:rPr>
        <w:t>;</w:t>
      </w:r>
    </w:p>
    <w:p w14:paraId="00000016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Proposal on the profit distribution and dividend payment plan for 2023, and the profit distribution and dividend payment plan for 2024.</w:t>
      </w:r>
    </w:p>
    <w:p w14:paraId="00000017" w14:textId="77777777" w:rsidR="0023375C" w:rsidRDefault="007B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Plan on profit distribution and dividend payment plan in 2023</w:t>
      </w:r>
    </w:p>
    <w:p w14:paraId="00000018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Based on the Company's audited Financial Statements in 2023, the undistributed profit after tax as of December 31, 2023, is VND -41,428,348,283. </w:t>
      </w:r>
      <w:r>
        <w:rPr>
          <w:rFonts w:ascii="Arial" w:hAnsi="Arial"/>
          <w:sz w:val="20"/>
        </w:rPr>
        <w:t>Based on the provisions of Article 135 of the Ent</w:t>
      </w:r>
      <w:r>
        <w:rPr>
          <w:rFonts w:ascii="Arial" w:hAnsi="Arial"/>
          <w:sz w:val="20"/>
        </w:rPr>
        <w:t>erprise Law 2020, the Company does not meet the conditions to pay dividends in 2023 and make appropriations to funds.</w:t>
      </w:r>
    </w:p>
    <w:p w14:paraId="00000019" w14:textId="77777777" w:rsidR="0023375C" w:rsidRDefault="007B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8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distribution plan for 2024</w:t>
      </w:r>
    </w:p>
    <w:p w14:paraId="0000001A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2024, it is determined that the Company will still face many difficulties, so the Company sets a plan</w:t>
      </w:r>
      <w:r>
        <w:rPr>
          <w:rFonts w:ascii="Arial" w:hAnsi="Arial"/>
          <w:sz w:val="20"/>
        </w:rPr>
        <w:t xml:space="preserve"> to strive for a profit of VND 500 million. However, that profit is not enough to offset the losses from previous years, and there is still a possibility of accumulated losses as of December 31, 2024. Therefore, the Company cannot make appropriations to fu</w:t>
      </w:r>
      <w:r>
        <w:rPr>
          <w:rFonts w:ascii="Arial" w:hAnsi="Arial"/>
          <w:sz w:val="20"/>
        </w:rPr>
        <w:t>nds and distribute profits in 2024 to Shareholders.</w:t>
      </w:r>
    </w:p>
    <w:p w14:paraId="0000001B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Proposal on the settlement of remuneration for the non-executive Board of Directors and Supervisory Board in 2023 and the plan to pay remuneration for the non-executive Board of Directors and Supervisory Board in 2024.</w:t>
      </w:r>
    </w:p>
    <w:p w14:paraId="0000001C" w14:textId="77777777" w:rsidR="0023375C" w:rsidRDefault="007B1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0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Approve the authorization</w:t>
      </w:r>
      <w:r>
        <w:rPr>
          <w:rFonts w:ascii="Arial" w:hAnsi="Arial"/>
          <w:sz w:val="20"/>
        </w:rPr>
        <w:t xml:space="preserve"> for the Board of Directors of the Company to select the audit company for the Financial Statements in 2024.</w:t>
      </w:r>
    </w:p>
    <w:p w14:paraId="0000001D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The Board of Directors and the Board of Managers of Viet Trung Quang Binh Joint Stock Company are assigned the responsibility to monit</w:t>
      </w:r>
      <w:r>
        <w:rPr>
          <w:rFonts w:ascii="Arial" w:hAnsi="Arial"/>
          <w:sz w:val="20"/>
        </w:rPr>
        <w:t>or, urge, and organize the implementation of the General Mandate in accordance with the Law and the Company Charter.</w:t>
      </w:r>
    </w:p>
    <w:p w14:paraId="0000001E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</w:t>
      </w:r>
      <w:r>
        <w:rPr>
          <w:rFonts w:ascii="Arial" w:hAnsi="Arial"/>
          <w:sz w:val="20"/>
        </w:rPr>
        <w:t>The Supervisory Board of the Company is assigned the responsibility to supervise and inspect the activities of the Board of Di</w:t>
      </w:r>
      <w:r>
        <w:rPr>
          <w:rFonts w:ascii="Arial" w:hAnsi="Arial"/>
          <w:sz w:val="20"/>
        </w:rPr>
        <w:t>rectors and the Board of Managers of Viet Trung Quang Binh Joint Stock Company in implementing the General Mandate, ensuring compliance with the law and the Company Charter.</w:t>
      </w:r>
    </w:p>
    <w:p w14:paraId="0000001F" w14:textId="77777777" w:rsidR="0023375C" w:rsidRDefault="007B1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4. This General Mandate has been approved by the Annual General Meeting </w:t>
      </w:r>
      <w:r>
        <w:rPr>
          <w:rFonts w:ascii="Arial" w:hAnsi="Arial"/>
          <w:sz w:val="20"/>
        </w:rPr>
        <w:t>of Shareholders in 2024 and takes effect from April 25, 2024.</w:t>
      </w:r>
    </w:p>
    <w:sectPr w:rsidR="0023375C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7DF"/>
    <w:multiLevelType w:val="multilevel"/>
    <w:tmpl w:val="480457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2B390C"/>
    <w:multiLevelType w:val="multilevel"/>
    <w:tmpl w:val="7C542F92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572C8D"/>
    <w:multiLevelType w:val="multilevel"/>
    <w:tmpl w:val="C4B6ED7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9E2F09"/>
    <w:multiLevelType w:val="multilevel"/>
    <w:tmpl w:val="3B0A75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5C"/>
    <w:rsid w:val="0023375C"/>
    <w:rsid w:val="007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FFAD"/>
  <w15:docId w15:val="{B3EAD5C7-EF01-4D56-8352-670F94F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76" w:lineRule="auto"/>
      <w:ind w:firstLine="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cbZYAlVmzf6uCeEW879SEIWYw==">CgMxLjA4AHIhMWcwb3FNV21wb3o0SHRRbXlDVDl3LTE5YjlKbHJ3UTZH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2024-05-03T04:39:00Z</dcterms:created>
  <dcterms:modified xsi:type="dcterms:W3CDTF">2024-05-04T02:39:00Z</dcterms:modified>
</cp:coreProperties>
</file>