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14B034" w14:textId="77777777" w:rsidR="0009707D" w:rsidRPr="002475F9" w:rsidRDefault="00CD0861" w:rsidP="002D364C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2475F9">
        <w:rPr>
          <w:rFonts w:ascii="Arial" w:hAnsi="Arial" w:cs="Arial"/>
          <w:b/>
          <w:color w:val="010000"/>
          <w:sz w:val="20"/>
        </w:rPr>
        <w:t>AGP: Adjustment of the Report on the results of issuing shares to pay dividends in 2023</w:t>
      </w:r>
    </w:p>
    <w:p w14:paraId="48B87D0D" w14:textId="77777777" w:rsidR="0009707D" w:rsidRPr="002475F9" w:rsidRDefault="00CD0861" w:rsidP="002D364C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75F9">
        <w:rPr>
          <w:rFonts w:ascii="Arial" w:hAnsi="Arial" w:cs="Arial"/>
          <w:color w:val="010000"/>
          <w:sz w:val="20"/>
        </w:rPr>
        <w:t xml:space="preserve">On May 03, 2024, </w:t>
      </w:r>
      <w:proofErr w:type="spellStart"/>
      <w:r w:rsidRPr="002475F9">
        <w:rPr>
          <w:rFonts w:ascii="Arial" w:hAnsi="Arial" w:cs="Arial"/>
          <w:color w:val="010000"/>
          <w:sz w:val="20"/>
        </w:rPr>
        <w:t>Agimexpharm</w:t>
      </w:r>
      <w:proofErr w:type="spellEnd"/>
      <w:r w:rsidRPr="002475F9">
        <w:rPr>
          <w:rFonts w:ascii="Arial" w:hAnsi="Arial" w:cs="Arial"/>
          <w:color w:val="010000"/>
          <w:sz w:val="20"/>
        </w:rPr>
        <w:t xml:space="preserve"> Pharmaceutical Joint Stock Company announced Official Dispatch No. 04/CV-AGP on adjusting the Report on the results of issuing shares to pay dividends in 2023 as follows:</w:t>
      </w:r>
    </w:p>
    <w:tbl>
      <w:tblPr>
        <w:tblStyle w:val="a"/>
        <w:tblW w:w="5340" w:type="pct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980"/>
        <w:gridCol w:w="3825"/>
        <w:gridCol w:w="3825"/>
      </w:tblGrid>
      <w:tr w:rsidR="0009707D" w:rsidRPr="002475F9" w14:paraId="11331FC4" w14:textId="77777777" w:rsidTr="00394540">
        <w:tc>
          <w:tcPr>
            <w:tcW w:w="1028" w:type="pct"/>
            <w:shd w:val="clear" w:color="auto" w:fill="auto"/>
            <w:vAlign w:val="center"/>
          </w:tcPr>
          <w:p w14:paraId="68A24478" w14:textId="77777777" w:rsidR="0009707D" w:rsidRPr="002D364C" w:rsidRDefault="00CD0861" w:rsidP="002D3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2D364C">
              <w:rPr>
                <w:rFonts w:ascii="Arial" w:hAnsi="Arial" w:cs="Arial"/>
                <w:b/>
                <w:color w:val="010000"/>
                <w:sz w:val="20"/>
              </w:rPr>
              <w:t>Content</w:t>
            </w:r>
          </w:p>
        </w:tc>
        <w:tc>
          <w:tcPr>
            <w:tcW w:w="1986" w:type="pct"/>
            <w:shd w:val="clear" w:color="auto" w:fill="auto"/>
            <w:vAlign w:val="center"/>
          </w:tcPr>
          <w:p w14:paraId="3429AD40" w14:textId="77777777" w:rsidR="0009707D" w:rsidRPr="002D364C" w:rsidRDefault="00CD0861" w:rsidP="002D3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2D364C">
              <w:rPr>
                <w:rFonts w:ascii="Arial" w:hAnsi="Arial" w:cs="Arial"/>
                <w:b/>
                <w:color w:val="010000"/>
                <w:sz w:val="20"/>
              </w:rPr>
              <w:t>Before adjustment</w:t>
            </w:r>
          </w:p>
        </w:tc>
        <w:tc>
          <w:tcPr>
            <w:tcW w:w="1986" w:type="pct"/>
            <w:shd w:val="clear" w:color="auto" w:fill="auto"/>
            <w:vAlign w:val="center"/>
          </w:tcPr>
          <w:p w14:paraId="3DE83B2E" w14:textId="77777777" w:rsidR="0009707D" w:rsidRPr="002D364C" w:rsidRDefault="00CD0861" w:rsidP="002D3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2D364C">
              <w:rPr>
                <w:rFonts w:ascii="Arial" w:hAnsi="Arial" w:cs="Arial"/>
                <w:b/>
                <w:color w:val="010000"/>
                <w:sz w:val="20"/>
              </w:rPr>
              <w:t>After adjustment</w:t>
            </w:r>
          </w:p>
        </w:tc>
      </w:tr>
      <w:tr w:rsidR="0009707D" w:rsidRPr="002475F9" w14:paraId="408F719B" w14:textId="77777777" w:rsidTr="00394540">
        <w:tc>
          <w:tcPr>
            <w:tcW w:w="1028" w:type="pct"/>
            <w:shd w:val="clear" w:color="auto" w:fill="auto"/>
            <w:vAlign w:val="center"/>
          </w:tcPr>
          <w:p w14:paraId="715663B0" w14:textId="77777777" w:rsidR="0009707D" w:rsidRPr="002475F9" w:rsidRDefault="00CD0861" w:rsidP="002D3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75F9">
              <w:rPr>
                <w:rFonts w:ascii="Arial" w:hAnsi="Arial" w:cs="Arial"/>
                <w:color w:val="010000"/>
                <w:sz w:val="20"/>
              </w:rPr>
              <w:t>1. Report on results of share issuance to pay dividends in 2023</w:t>
            </w:r>
          </w:p>
        </w:tc>
        <w:tc>
          <w:tcPr>
            <w:tcW w:w="1986" w:type="pct"/>
            <w:shd w:val="clear" w:color="auto" w:fill="auto"/>
            <w:vAlign w:val="center"/>
          </w:tcPr>
          <w:p w14:paraId="1A3B4DB4" w14:textId="77777777" w:rsidR="0009707D" w:rsidRPr="002475F9" w:rsidRDefault="00CD0861" w:rsidP="002D364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3"/>
                <w:tab w:val="left" w:pos="864"/>
                <w:tab w:val="left" w:pos="1512"/>
                <w:tab w:val="left" w:pos="2030"/>
                <w:tab w:val="left" w:pos="356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75F9">
              <w:rPr>
                <w:rFonts w:ascii="Arial" w:hAnsi="Arial" w:cs="Arial"/>
                <w:color w:val="010000"/>
                <w:sz w:val="20"/>
              </w:rPr>
              <w:t>Report No. 04/BC-AGP dated April 24, 2024.</w:t>
            </w:r>
          </w:p>
          <w:p w14:paraId="7020A21E" w14:textId="77777777" w:rsidR="0009707D" w:rsidRPr="002475F9" w:rsidRDefault="00CD0861" w:rsidP="002D364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3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75F9">
              <w:rPr>
                <w:rFonts w:ascii="Arial" w:hAnsi="Arial" w:cs="Arial"/>
                <w:color w:val="010000"/>
                <w:sz w:val="20"/>
              </w:rPr>
              <w:t>Section 1, Part III:</w:t>
            </w:r>
          </w:p>
          <w:p w14:paraId="2EF84DCA" w14:textId="77777777" w:rsidR="0009707D" w:rsidRPr="002475F9" w:rsidRDefault="00CD0861" w:rsidP="002D3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75F9">
              <w:rPr>
                <w:rFonts w:ascii="Arial" w:hAnsi="Arial" w:cs="Arial"/>
                <w:color w:val="010000"/>
                <w:sz w:val="20"/>
              </w:rPr>
              <w:t>Total number of distributed shares: 2,479,488 shares, in which:</w:t>
            </w:r>
          </w:p>
          <w:p w14:paraId="06CCFFA6" w14:textId="77777777" w:rsidR="0009707D" w:rsidRPr="002475F9" w:rsidRDefault="00CD0861" w:rsidP="002D3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75F9">
              <w:rPr>
                <w:rFonts w:ascii="Arial" w:hAnsi="Arial" w:cs="Arial"/>
                <w:color w:val="010000"/>
                <w:sz w:val="20"/>
              </w:rPr>
              <w:t>Number of shares distributed to shareholders according to the rate: 2,479,488 shares for 780 shareholders;</w:t>
            </w:r>
          </w:p>
          <w:p w14:paraId="01783ECD" w14:textId="77777777" w:rsidR="0009707D" w:rsidRPr="002475F9" w:rsidRDefault="00CD0861" w:rsidP="002D3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75F9">
              <w:rPr>
                <w:rFonts w:ascii="Arial" w:hAnsi="Arial" w:cs="Arial"/>
                <w:color w:val="010000"/>
                <w:sz w:val="20"/>
              </w:rPr>
              <w:t>Number of fractional shares handled: 0 shares.</w:t>
            </w:r>
          </w:p>
        </w:tc>
        <w:tc>
          <w:tcPr>
            <w:tcW w:w="1986" w:type="pct"/>
            <w:shd w:val="clear" w:color="auto" w:fill="auto"/>
            <w:vAlign w:val="center"/>
          </w:tcPr>
          <w:p w14:paraId="7D0DFA7D" w14:textId="77777777" w:rsidR="0009707D" w:rsidRPr="002475F9" w:rsidRDefault="00CD0861" w:rsidP="002D364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4"/>
                <w:tab w:val="left" w:pos="830"/>
                <w:tab w:val="left" w:pos="1478"/>
                <w:tab w:val="left" w:pos="1992"/>
                <w:tab w:val="left" w:pos="3523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75F9">
              <w:rPr>
                <w:rFonts w:ascii="Arial" w:hAnsi="Arial" w:cs="Arial"/>
                <w:color w:val="010000"/>
                <w:sz w:val="20"/>
              </w:rPr>
              <w:t>Report No. 05/BC-AGP dated April 26, 2024.</w:t>
            </w:r>
          </w:p>
          <w:p w14:paraId="1C4F7A36" w14:textId="77777777" w:rsidR="0009707D" w:rsidRPr="002475F9" w:rsidRDefault="00CD0861" w:rsidP="002D364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3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75F9">
              <w:rPr>
                <w:rFonts w:ascii="Arial" w:hAnsi="Arial" w:cs="Arial"/>
                <w:color w:val="010000"/>
                <w:sz w:val="20"/>
              </w:rPr>
              <w:t>Section 1, Part III:</w:t>
            </w:r>
          </w:p>
          <w:p w14:paraId="30101EBE" w14:textId="77777777" w:rsidR="0009707D" w:rsidRPr="002475F9" w:rsidRDefault="00CD0861" w:rsidP="002D3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75F9">
              <w:rPr>
                <w:rFonts w:ascii="Arial" w:hAnsi="Arial" w:cs="Arial"/>
                <w:color w:val="010000"/>
                <w:sz w:val="20"/>
              </w:rPr>
              <w:t>Total number of distributed shares: 2,479,488 shares, in which:</w:t>
            </w:r>
          </w:p>
          <w:p w14:paraId="7578308B" w14:textId="77777777" w:rsidR="0009707D" w:rsidRPr="002475F9" w:rsidRDefault="00CD0861" w:rsidP="002D3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75F9">
              <w:rPr>
                <w:rFonts w:ascii="Arial" w:hAnsi="Arial" w:cs="Arial"/>
                <w:color w:val="010000"/>
                <w:sz w:val="20"/>
              </w:rPr>
              <w:t>Number of shares distributed to shareholders according to the rate: 2,479,488 shares for 780 shareholders;</w:t>
            </w:r>
          </w:p>
          <w:p w14:paraId="1EEB3651" w14:textId="77777777" w:rsidR="0009707D" w:rsidRPr="002475F9" w:rsidRDefault="00CD0861" w:rsidP="002D3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75F9">
              <w:rPr>
                <w:rFonts w:ascii="Arial" w:hAnsi="Arial" w:cs="Arial"/>
                <w:color w:val="010000"/>
                <w:sz w:val="20"/>
              </w:rPr>
              <w:t>Number of fractional shares handled (canceled): 246 shares.</w:t>
            </w:r>
          </w:p>
        </w:tc>
      </w:tr>
      <w:tr w:rsidR="0009707D" w:rsidRPr="002475F9" w14:paraId="2236AC0E" w14:textId="77777777" w:rsidTr="00394540">
        <w:tc>
          <w:tcPr>
            <w:tcW w:w="1028" w:type="pct"/>
            <w:shd w:val="clear" w:color="auto" w:fill="auto"/>
            <w:vAlign w:val="center"/>
          </w:tcPr>
          <w:p w14:paraId="5A061947" w14:textId="77777777" w:rsidR="0009707D" w:rsidRPr="002475F9" w:rsidRDefault="00CD0861" w:rsidP="002D3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75F9">
              <w:rPr>
                <w:rFonts w:ascii="Arial" w:hAnsi="Arial" w:cs="Arial"/>
                <w:color w:val="010000"/>
                <w:sz w:val="20"/>
              </w:rPr>
              <w:t>2. Notice on changing the number of shares with voting rights</w:t>
            </w:r>
          </w:p>
        </w:tc>
        <w:tc>
          <w:tcPr>
            <w:tcW w:w="1986" w:type="pct"/>
            <w:shd w:val="clear" w:color="auto" w:fill="auto"/>
            <w:vAlign w:val="center"/>
          </w:tcPr>
          <w:p w14:paraId="3704AE0E" w14:textId="77777777" w:rsidR="0009707D" w:rsidRPr="002475F9" w:rsidRDefault="00CD0861" w:rsidP="002D3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8"/>
                <w:tab w:val="left" w:pos="1541"/>
                <w:tab w:val="left" w:pos="2035"/>
                <w:tab w:val="left" w:pos="3528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75F9">
              <w:rPr>
                <w:rFonts w:ascii="Arial" w:hAnsi="Arial" w:cs="Arial"/>
                <w:color w:val="010000"/>
                <w:sz w:val="20"/>
              </w:rPr>
              <w:t>Notice No. 05/TB-AGP dated April 24, 2024</w:t>
            </w:r>
          </w:p>
        </w:tc>
        <w:tc>
          <w:tcPr>
            <w:tcW w:w="1986" w:type="pct"/>
            <w:shd w:val="clear" w:color="auto" w:fill="auto"/>
            <w:vAlign w:val="center"/>
          </w:tcPr>
          <w:p w14:paraId="49963331" w14:textId="77777777" w:rsidR="0009707D" w:rsidRPr="002475F9" w:rsidRDefault="00CD0861" w:rsidP="002D3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"/>
                <w:tab w:val="left" w:pos="1560"/>
                <w:tab w:val="left" w:pos="2059"/>
                <w:tab w:val="left" w:pos="356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475F9">
              <w:rPr>
                <w:rFonts w:ascii="Arial" w:hAnsi="Arial" w:cs="Arial"/>
                <w:color w:val="010000"/>
                <w:sz w:val="20"/>
              </w:rPr>
              <w:t>Notice No. 06/TB-AGP dated April 26, 2024</w:t>
            </w:r>
          </w:p>
        </w:tc>
      </w:tr>
    </w:tbl>
    <w:p w14:paraId="267352FB" w14:textId="5741D009" w:rsidR="0009707D" w:rsidRPr="00394540" w:rsidRDefault="00CD0861" w:rsidP="002D364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i/>
          <w:color w:val="010000"/>
          <w:sz w:val="20"/>
          <w:szCs w:val="20"/>
        </w:rPr>
      </w:pPr>
      <w:r w:rsidRPr="00394540">
        <w:rPr>
          <w:rFonts w:ascii="Arial" w:hAnsi="Arial" w:cs="Arial"/>
          <w:i/>
          <w:color w:val="010000"/>
          <w:sz w:val="20"/>
        </w:rPr>
        <w:t xml:space="preserve">Reason: </w:t>
      </w:r>
      <w:r w:rsidR="002475F9" w:rsidRPr="00394540">
        <w:rPr>
          <w:rFonts w:ascii="Arial" w:hAnsi="Arial" w:cs="Arial"/>
          <w:i/>
          <w:color w:val="010000"/>
          <w:sz w:val="20"/>
        </w:rPr>
        <w:t>Mistake in</w:t>
      </w:r>
      <w:r w:rsidRPr="00394540">
        <w:rPr>
          <w:rFonts w:ascii="Arial" w:hAnsi="Arial" w:cs="Arial"/>
          <w:i/>
          <w:color w:val="010000"/>
          <w:sz w:val="20"/>
        </w:rPr>
        <w:t xml:space="preserve"> fractional shares</w:t>
      </w:r>
    </w:p>
    <w:p w14:paraId="31431C02" w14:textId="0C190394" w:rsidR="0009707D" w:rsidRPr="002475F9" w:rsidRDefault="0009707D" w:rsidP="002D364C">
      <w:pPr>
        <w:pBdr>
          <w:top w:val="nil"/>
          <w:left w:val="nil"/>
          <w:bottom w:val="single" w:sz="6" w:space="1" w:color="auto"/>
          <w:right w:val="nil"/>
          <w:between w:val="nil"/>
        </w:pBdr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</w:p>
    <w:p w14:paraId="769654BC" w14:textId="77777777" w:rsidR="0009707D" w:rsidRPr="002475F9" w:rsidRDefault="00CD0861" w:rsidP="002D364C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75F9">
        <w:rPr>
          <w:rFonts w:ascii="Arial" w:hAnsi="Arial" w:cs="Arial"/>
          <w:color w:val="010000"/>
          <w:sz w:val="20"/>
        </w:rPr>
        <w:t xml:space="preserve">On April 26, 2024, </w:t>
      </w:r>
      <w:proofErr w:type="spellStart"/>
      <w:r w:rsidRPr="002475F9">
        <w:rPr>
          <w:rFonts w:ascii="Arial" w:hAnsi="Arial" w:cs="Arial"/>
          <w:color w:val="010000"/>
          <w:sz w:val="20"/>
        </w:rPr>
        <w:t>Agimexpharm</w:t>
      </w:r>
      <w:proofErr w:type="spellEnd"/>
      <w:r w:rsidRPr="002475F9">
        <w:rPr>
          <w:rFonts w:ascii="Arial" w:hAnsi="Arial" w:cs="Arial"/>
          <w:color w:val="010000"/>
          <w:sz w:val="20"/>
        </w:rPr>
        <w:t xml:space="preserve"> Pharmaceutical Joint Stock Company announced Report No. 05/BC-AGP on the results of issuing shares to pay dividends in 2023 as follows:</w:t>
      </w:r>
    </w:p>
    <w:p w14:paraId="003DB29A" w14:textId="77777777" w:rsidR="0009707D" w:rsidRPr="002475F9" w:rsidRDefault="00CD0861" w:rsidP="00394540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75F9">
        <w:rPr>
          <w:rFonts w:ascii="Arial" w:hAnsi="Arial" w:cs="Arial"/>
          <w:color w:val="010000"/>
          <w:sz w:val="20"/>
        </w:rPr>
        <w:t>Plan on share issuance to pay dividends</w:t>
      </w:r>
    </w:p>
    <w:p w14:paraId="59F96CA0" w14:textId="77777777" w:rsidR="0009707D" w:rsidRPr="002475F9" w:rsidRDefault="00CD0861" w:rsidP="002D36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5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75F9">
        <w:rPr>
          <w:rFonts w:ascii="Arial" w:hAnsi="Arial" w:cs="Arial"/>
          <w:color w:val="010000"/>
          <w:sz w:val="20"/>
        </w:rPr>
        <w:t xml:space="preserve">Share name: Shares of </w:t>
      </w:r>
      <w:proofErr w:type="spellStart"/>
      <w:r w:rsidRPr="002475F9">
        <w:rPr>
          <w:rFonts w:ascii="Arial" w:hAnsi="Arial" w:cs="Arial"/>
          <w:color w:val="010000"/>
          <w:sz w:val="20"/>
        </w:rPr>
        <w:t>Agimexpharm</w:t>
      </w:r>
      <w:proofErr w:type="spellEnd"/>
      <w:r w:rsidRPr="002475F9">
        <w:rPr>
          <w:rFonts w:ascii="Arial" w:hAnsi="Arial" w:cs="Arial"/>
          <w:color w:val="010000"/>
          <w:sz w:val="20"/>
        </w:rPr>
        <w:t xml:space="preserve"> Pharmaceutical Joint Stock Company</w:t>
      </w:r>
    </w:p>
    <w:p w14:paraId="50C9162F" w14:textId="77777777" w:rsidR="0009707D" w:rsidRPr="002475F9" w:rsidRDefault="00CD0861" w:rsidP="002D36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5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75F9">
        <w:rPr>
          <w:rFonts w:ascii="Arial" w:hAnsi="Arial" w:cs="Arial"/>
          <w:color w:val="010000"/>
          <w:sz w:val="20"/>
        </w:rPr>
        <w:t>Share type: Common share</w:t>
      </w:r>
    </w:p>
    <w:p w14:paraId="4D64EC0E" w14:textId="77777777" w:rsidR="0009707D" w:rsidRPr="002475F9" w:rsidRDefault="00CD0861" w:rsidP="002D36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5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75F9">
        <w:rPr>
          <w:rFonts w:ascii="Arial" w:hAnsi="Arial" w:cs="Arial"/>
          <w:color w:val="010000"/>
          <w:sz w:val="20"/>
        </w:rPr>
        <w:t>Number of shares before issuance:</w:t>
      </w:r>
    </w:p>
    <w:p w14:paraId="33C0ACE7" w14:textId="77777777" w:rsidR="0009707D" w:rsidRPr="002475F9" w:rsidRDefault="00CD0861" w:rsidP="00132EA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75F9">
        <w:rPr>
          <w:rFonts w:ascii="Arial" w:hAnsi="Arial" w:cs="Arial"/>
          <w:color w:val="010000"/>
          <w:sz w:val="20"/>
        </w:rPr>
        <w:t>Total number of issued shares: 20,664,453 shares</w:t>
      </w:r>
    </w:p>
    <w:p w14:paraId="01B5EF44" w14:textId="77777777" w:rsidR="0009707D" w:rsidRPr="002475F9" w:rsidRDefault="00CD0861" w:rsidP="00132EA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75F9">
        <w:rPr>
          <w:rFonts w:ascii="Arial" w:hAnsi="Arial" w:cs="Arial"/>
          <w:color w:val="010000"/>
          <w:sz w:val="20"/>
        </w:rPr>
        <w:t>Number of outstanding shares: 20,664,453 shares</w:t>
      </w:r>
    </w:p>
    <w:p w14:paraId="3BA8B2E9" w14:textId="77777777" w:rsidR="0009707D" w:rsidRPr="002475F9" w:rsidRDefault="00CD0861" w:rsidP="00132EA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75F9">
        <w:rPr>
          <w:rFonts w:ascii="Arial" w:hAnsi="Arial" w:cs="Arial"/>
          <w:color w:val="010000"/>
          <w:sz w:val="20"/>
        </w:rPr>
        <w:t>Number of treasury shares: 0 shares</w:t>
      </w:r>
    </w:p>
    <w:p w14:paraId="51E458C2" w14:textId="77777777" w:rsidR="0009707D" w:rsidRPr="002475F9" w:rsidRDefault="00CD0861" w:rsidP="002D36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7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75F9">
        <w:rPr>
          <w:rFonts w:ascii="Arial" w:hAnsi="Arial" w:cs="Arial"/>
          <w:color w:val="010000"/>
          <w:sz w:val="20"/>
        </w:rPr>
        <w:t>Number of shares expected to be issued: 2,479,734 shares</w:t>
      </w:r>
    </w:p>
    <w:p w14:paraId="402DD93A" w14:textId="06EFE8DA" w:rsidR="0009707D" w:rsidRPr="002475F9" w:rsidRDefault="00CD0861" w:rsidP="002D36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7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75F9">
        <w:rPr>
          <w:rFonts w:ascii="Arial" w:hAnsi="Arial" w:cs="Arial"/>
          <w:color w:val="010000"/>
          <w:sz w:val="20"/>
        </w:rPr>
        <w:t>Rights exercise rate: 100:12, shareholders owning 01 share will receive 01 rights to rece</w:t>
      </w:r>
      <w:r w:rsidR="00132EA3">
        <w:rPr>
          <w:rFonts w:ascii="Arial" w:hAnsi="Arial" w:cs="Arial"/>
          <w:color w:val="010000"/>
          <w:sz w:val="20"/>
        </w:rPr>
        <w:t>ive additional shares.</w:t>
      </w:r>
      <w:r w:rsidRPr="002475F9">
        <w:rPr>
          <w:rFonts w:ascii="Arial" w:hAnsi="Arial" w:cs="Arial"/>
          <w:color w:val="010000"/>
          <w:sz w:val="20"/>
        </w:rPr>
        <w:t xml:space="preserve"> For every 100 rights to receive additional shares, shareholders will receive 12 new </w:t>
      </w:r>
      <w:r w:rsidRPr="002475F9">
        <w:rPr>
          <w:rFonts w:ascii="Arial" w:hAnsi="Arial" w:cs="Arial"/>
          <w:color w:val="010000"/>
          <w:sz w:val="20"/>
        </w:rPr>
        <w:lastRenderedPageBreak/>
        <w:t>shares.</w:t>
      </w:r>
    </w:p>
    <w:p w14:paraId="39F35C3D" w14:textId="18FF7933" w:rsidR="0009707D" w:rsidRPr="002475F9" w:rsidRDefault="00CD0861" w:rsidP="002D36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7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75F9">
        <w:rPr>
          <w:rFonts w:ascii="Arial" w:hAnsi="Arial" w:cs="Arial"/>
          <w:color w:val="010000"/>
          <w:sz w:val="20"/>
        </w:rPr>
        <w:t>Capital source for the issuance: Undistributed profit after tax. The value of undistributed profit after tax is determined as of December 31, 2023</w:t>
      </w:r>
      <w:r w:rsidR="00304EA3">
        <w:rPr>
          <w:rFonts w:ascii="Arial" w:hAnsi="Arial" w:cs="Arial"/>
          <w:color w:val="010000"/>
          <w:sz w:val="20"/>
        </w:rPr>
        <w:t>,</w:t>
      </w:r>
      <w:r w:rsidRPr="002475F9">
        <w:rPr>
          <w:rFonts w:ascii="Arial" w:hAnsi="Arial" w:cs="Arial"/>
          <w:color w:val="010000"/>
          <w:sz w:val="20"/>
        </w:rPr>
        <w:t xml:space="preserve"> according to the Audited Financial Statements 2023 of </w:t>
      </w:r>
      <w:proofErr w:type="spellStart"/>
      <w:r w:rsidRPr="002475F9">
        <w:rPr>
          <w:rFonts w:ascii="Arial" w:hAnsi="Arial" w:cs="Arial"/>
          <w:color w:val="010000"/>
          <w:sz w:val="20"/>
        </w:rPr>
        <w:t>Agimexpharm</w:t>
      </w:r>
      <w:proofErr w:type="spellEnd"/>
      <w:r w:rsidRPr="002475F9">
        <w:rPr>
          <w:rFonts w:ascii="Arial" w:hAnsi="Arial" w:cs="Arial"/>
          <w:color w:val="010000"/>
          <w:sz w:val="20"/>
        </w:rPr>
        <w:t xml:space="preserve"> Pharmaceutical Joint Stock Company.</w:t>
      </w:r>
    </w:p>
    <w:p w14:paraId="482665A7" w14:textId="34B1F1C3" w:rsidR="0009707D" w:rsidRPr="002475F9" w:rsidRDefault="00CD0861" w:rsidP="002D36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7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75F9">
        <w:rPr>
          <w:rFonts w:ascii="Arial" w:hAnsi="Arial" w:cs="Arial"/>
          <w:color w:val="010000"/>
          <w:sz w:val="20"/>
        </w:rPr>
        <w:t xml:space="preserve">Plan on handling fractional shares: The number of additional shares will be rounded down to the unit, </w:t>
      </w:r>
      <w:r w:rsidR="00A40068">
        <w:rPr>
          <w:rFonts w:ascii="Arial" w:hAnsi="Arial" w:cs="Arial"/>
          <w:color w:val="010000"/>
          <w:sz w:val="20"/>
        </w:rPr>
        <w:t xml:space="preserve">and </w:t>
      </w:r>
      <w:r w:rsidRPr="002475F9">
        <w:rPr>
          <w:rFonts w:ascii="Arial" w:hAnsi="Arial" w:cs="Arial"/>
          <w:color w:val="010000"/>
          <w:sz w:val="20"/>
        </w:rPr>
        <w:t>the decimal part (if any) will be canceled</w:t>
      </w:r>
    </w:p>
    <w:p w14:paraId="04169B2D" w14:textId="77777777" w:rsidR="0009707D" w:rsidRPr="0082068A" w:rsidRDefault="00CD0861" w:rsidP="002D364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i/>
          <w:color w:val="010000"/>
          <w:sz w:val="20"/>
          <w:szCs w:val="20"/>
        </w:rPr>
      </w:pPr>
      <w:r w:rsidRPr="0082068A">
        <w:rPr>
          <w:rFonts w:ascii="Arial" w:hAnsi="Arial" w:cs="Arial"/>
          <w:i/>
          <w:color w:val="010000"/>
          <w:sz w:val="20"/>
        </w:rPr>
        <w:t>For example: Shareholder A owns 128 shares at the record date for the list of shareholders. With the rights exercise rate of 100:12, shareholder A will receive (128/100 * 12) = 15.36 new shares. According to the above calculation principle, shareholder A will receive 15 new shares. 0.36 fractional shares will be canceled.</w:t>
      </w:r>
      <w:bookmarkStart w:id="0" w:name="_GoBack"/>
      <w:bookmarkEnd w:id="0"/>
    </w:p>
    <w:p w14:paraId="724BC936" w14:textId="77777777" w:rsidR="0009707D" w:rsidRPr="002475F9" w:rsidRDefault="00CD0861" w:rsidP="002D36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7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75F9">
        <w:rPr>
          <w:rFonts w:ascii="Arial" w:hAnsi="Arial" w:cs="Arial"/>
          <w:color w:val="010000"/>
          <w:sz w:val="20"/>
        </w:rPr>
        <w:t>End date of the issuance: April 19, 2024.</w:t>
      </w:r>
    </w:p>
    <w:p w14:paraId="607321D7" w14:textId="77777777" w:rsidR="0009707D" w:rsidRPr="002475F9" w:rsidRDefault="00CD0861" w:rsidP="002D36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7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75F9">
        <w:rPr>
          <w:rFonts w:ascii="Arial" w:hAnsi="Arial" w:cs="Arial"/>
          <w:color w:val="010000"/>
          <w:sz w:val="20"/>
        </w:rPr>
        <w:t>Expected date to transfer shares: In May and June 2024.</w:t>
      </w:r>
    </w:p>
    <w:p w14:paraId="3BE60D72" w14:textId="77777777" w:rsidR="0009707D" w:rsidRPr="002475F9" w:rsidRDefault="00CD0861" w:rsidP="00A40068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75F9">
        <w:rPr>
          <w:rFonts w:ascii="Arial" w:hAnsi="Arial" w:cs="Arial"/>
          <w:color w:val="010000"/>
          <w:sz w:val="20"/>
        </w:rPr>
        <w:t>Results of issuing shares to pay dividends</w:t>
      </w:r>
    </w:p>
    <w:p w14:paraId="039EAE2D" w14:textId="77777777" w:rsidR="0009707D" w:rsidRPr="002475F9" w:rsidRDefault="00CD0861" w:rsidP="002D36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7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75F9">
        <w:rPr>
          <w:rFonts w:ascii="Arial" w:hAnsi="Arial" w:cs="Arial"/>
          <w:color w:val="010000"/>
          <w:sz w:val="20"/>
        </w:rPr>
        <w:t>Total number of distributed shares: 2,479,488 shares, in which:</w:t>
      </w:r>
    </w:p>
    <w:p w14:paraId="798CAD11" w14:textId="77777777" w:rsidR="0009707D" w:rsidRPr="002475F9" w:rsidRDefault="00CD0861" w:rsidP="002D364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9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75F9">
        <w:rPr>
          <w:rFonts w:ascii="Arial" w:hAnsi="Arial" w:cs="Arial"/>
          <w:color w:val="010000"/>
          <w:sz w:val="20"/>
        </w:rPr>
        <w:t>Number of shares distributed to shareholders according to the rate: 2,479,488 shares for 780 shareholders;</w:t>
      </w:r>
    </w:p>
    <w:p w14:paraId="24D85246" w14:textId="77777777" w:rsidR="0009707D" w:rsidRPr="002475F9" w:rsidRDefault="00CD0861" w:rsidP="002D364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9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75F9">
        <w:rPr>
          <w:rFonts w:ascii="Arial" w:hAnsi="Arial" w:cs="Arial"/>
          <w:color w:val="010000"/>
          <w:sz w:val="20"/>
        </w:rPr>
        <w:t>Number of fractional shares handled (canceled): 246 shares.</w:t>
      </w:r>
    </w:p>
    <w:p w14:paraId="19D90CE4" w14:textId="604D1600" w:rsidR="0009707D" w:rsidRPr="002475F9" w:rsidRDefault="00CD0861" w:rsidP="002D36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7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75F9">
        <w:rPr>
          <w:rFonts w:ascii="Arial" w:hAnsi="Arial" w:cs="Arial"/>
          <w:color w:val="010000"/>
          <w:sz w:val="20"/>
        </w:rPr>
        <w:t xml:space="preserve">Total number of </w:t>
      </w:r>
      <w:r w:rsidR="00A40068">
        <w:rPr>
          <w:rFonts w:ascii="Arial" w:hAnsi="Arial" w:cs="Arial"/>
          <w:color w:val="010000"/>
          <w:sz w:val="20"/>
        </w:rPr>
        <w:t>shares</w:t>
      </w:r>
      <w:r w:rsidRPr="002475F9">
        <w:rPr>
          <w:rFonts w:ascii="Arial" w:hAnsi="Arial" w:cs="Arial"/>
          <w:color w:val="010000"/>
          <w:sz w:val="20"/>
        </w:rPr>
        <w:t xml:space="preserve"> after issuance (April 24, 2024): 23,143,941 shares, in which:</w:t>
      </w:r>
    </w:p>
    <w:p w14:paraId="36D048EA" w14:textId="77777777" w:rsidR="0009707D" w:rsidRPr="002475F9" w:rsidRDefault="00CD0861" w:rsidP="002D364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9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75F9">
        <w:rPr>
          <w:rFonts w:ascii="Arial" w:hAnsi="Arial" w:cs="Arial"/>
          <w:color w:val="010000"/>
          <w:sz w:val="20"/>
        </w:rPr>
        <w:t>Number of outstanding shares: 23,143,941 shares;</w:t>
      </w:r>
    </w:p>
    <w:p w14:paraId="6F8A1AC9" w14:textId="77777777" w:rsidR="0009707D" w:rsidRPr="002475F9" w:rsidRDefault="00CD0861" w:rsidP="002D364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9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75F9">
        <w:rPr>
          <w:rFonts w:ascii="Arial" w:hAnsi="Arial" w:cs="Arial"/>
          <w:color w:val="010000"/>
          <w:sz w:val="20"/>
        </w:rPr>
        <w:t>Number of treasury shares: 0 shares.</w:t>
      </w:r>
    </w:p>
    <w:sectPr w:rsidR="0009707D" w:rsidRPr="002475F9" w:rsidSect="002475F9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96BA1"/>
    <w:multiLevelType w:val="multilevel"/>
    <w:tmpl w:val="ACA0178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C120C2F"/>
    <w:multiLevelType w:val="multilevel"/>
    <w:tmpl w:val="560EC96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81B3D99"/>
    <w:multiLevelType w:val="multilevel"/>
    <w:tmpl w:val="8FB0E96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E524811"/>
    <w:multiLevelType w:val="multilevel"/>
    <w:tmpl w:val="EE0037F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EAD5469"/>
    <w:multiLevelType w:val="multilevel"/>
    <w:tmpl w:val="1744C92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26F139D"/>
    <w:multiLevelType w:val="multilevel"/>
    <w:tmpl w:val="21FE77C8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07D"/>
    <w:rsid w:val="0009707D"/>
    <w:rsid w:val="00132EA3"/>
    <w:rsid w:val="002475F9"/>
    <w:rsid w:val="002D364C"/>
    <w:rsid w:val="00304EA3"/>
    <w:rsid w:val="00394540"/>
    <w:rsid w:val="0082068A"/>
    <w:rsid w:val="00A40068"/>
    <w:rsid w:val="00CD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0D5754"/>
  <w15:docId w15:val="{EBA9046F-BEB6-4D03-8276-423C70447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Neue" w:eastAsia="Helvetica Neue" w:hAnsi="Helvetica Neue" w:cs="Helvetica Neue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86" w:lineRule="auto"/>
    </w:pPr>
    <w:rPr>
      <w:rFonts w:ascii="Times New Roman" w:eastAsia="Times New Roman" w:hAnsi="Times New Roman" w:cs="Times New Roman"/>
    </w:rPr>
  </w:style>
  <w:style w:type="paragraph" w:customStyle="1" w:styleId="Heading21">
    <w:name w:val="Heading #2"/>
    <w:basedOn w:val="Normal"/>
    <w:link w:val="Heading20"/>
    <w:pPr>
      <w:spacing w:line="286" w:lineRule="auto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pPr>
      <w:spacing w:line="286" w:lineRule="auto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ind w:firstLine="3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1">
    <w:name w:val="Heading #1"/>
    <w:basedOn w:val="Normal"/>
    <w:link w:val="Heading10"/>
    <w:pPr>
      <w:ind w:firstLine="17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4Ni+ZQWXTp8lcFD5dbFWNgodEfQ==">CgMxLjA4AHIhMWpfSktmZENIWm53Y2hsOThva21RRTVuZjNyX1BHWWhG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499</Words>
  <Characters>2655</Characters>
  <Application>Microsoft Office Word</Application>
  <DocSecurity>0</DocSecurity>
  <Lines>71</Lines>
  <Paragraphs>48</Paragraphs>
  <ScaleCrop>false</ScaleCrop>
  <Company/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9</cp:revision>
  <dcterms:created xsi:type="dcterms:W3CDTF">2024-05-04T11:03:00Z</dcterms:created>
  <dcterms:modified xsi:type="dcterms:W3CDTF">2024-05-06T08:26:00Z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2ac99ee925ca1da26fa9abdd684ba832deb0b503f36e1ec12368c22810f824dc</vt:lpwstr>
  </property>
</Properties>
</file>