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617D1" w14:textId="77777777" w:rsidR="005C4343" w:rsidRDefault="00611D1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87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heading=h.gjdgxs"/>
      <w:bookmarkEnd w:id="0"/>
      <w:r>
        <w:rPr>
          <w:rFonts w:ascii="Arial" w:hAnsi="Arial"/>
          <w:b/>
          <w:color w:val="010000"/>
          <w:sz w:val="20"/>
        </w:rPr>
        <w:t>CDP: Annual General Mandate 2024</w:t>
      </w:r>
    </w:p>
    <w:p w14:paraId="56EC70BC" w14:textId="77777777" w:rsidR="005C4343" w:rsidRDefault="00611D1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8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On April 25, 2024, Codupha Central Pharmaceutical Joint Stock Company announced General Mandate No. 01/2024/NQ-DHDCDTN as follows:</w:t>
      </w:r>
    </w:p>
    <w:p w14:paraId="47ADC4E6" w14:textId="77777777" w:rsidR="005C4343" w:rsidRDefault="00611D1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Article 1: Approve the Report on the activities of the Board of Directors No. 01/BC-DHDCD.2024 dated March 28, 2024 of Coduph</w:t>
      </w:r>
      <w:r>
        <w:rPr>
          <w:rFonts w:ascii="Arial" w:hAnsi="Arial"/>
          <w:color w:val="010000"/>
          <w:sz w:val="20"/>
        </w:rPr>
        <w:t>a Central Pharmaceutical Joint Stock Company.</w:t>
      </w:r>
    </w:p>
    <w:p w14:paraId="706774E8" w14:textId="77777777" w:rsidR="005C4343" w:rsidRDefault="00611D1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Article 2: Approve the Report on business performance in 2023 and plan for 2024 No. 02/BC-DHDCD.2024 dated March 28, 2024 of Codupha Central Pharmaceutical Joint Stock Company.</w:t>
      </w:r>
    </w:p>
    <w:p w14:paraId="7EBEA312" w14:textId="77777777" w:rsidR="005C4343" w:rsidRDefault="00611D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Business plan 2024:</w:t>
      </w:r>
    </w:p>
    <w:tbl>
      <w:tblPr>
        <w:tblStyle w:val="a1"/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3"/>
        <w:gridCol w:w="3205"/>
        <w:gridCol w:w="1535"/>
        <w:gridCol w:w="1336"/>
        <w:gridCol w:w="1248"/>
        <w:gridCol w:w="1230"/>
      </w:tblGrid>
      <w:tr w:rsidR="005C4343" w14:paraId="10FD689D" w14:textId="77777777">
        <w:tc>
          <w:tcPr>
            <w:tcW w:w="463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282F2BB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No.</w:t>
            </w:r>
          </w:p>
        </w:tc>
        <w:tc>
          <w:tcPr>
            <w:tcW w:w="320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4A6E041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Targets plan</w:t>
            </w:r>
          </w:p>
        </w:tc>
        <w:tc>
          <w:tcPr>
            <w:tcW w:w="153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0F5DBE1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Unit</w:t>
            </w:r>
          </w:p>
        </w:tc>
        <w:tc>
          <w:tcPr>
            <w:tcW w:w="133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3011E67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 xml:space="preserve">Plan 2023 </w:t>
            </w:r>
          </w:p>
        </w:tc>
        <w:tc>
          <w:tcPr>
            <w:tcW w:w="124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CF84330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 xml:space="preserve">Results 2023 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B366640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Plan 2024</w:t>
            </w:r>
          </w:p>
        </w:tc>
      </w:tr>
      <w:tr w:rsidR="005C4343" w14:paraId="3D150E5D" w14:textId="77777777">
        <w:tc>
          <w:tcPr>
            <w:tcW w:w="463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4A30DD3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</w:t>
            </w:r>
          </w:p>
        </w:tc>
        <w:tc>
          <w:tcPr>
            <w:tcW w:w="320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E5639BB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Net revenue</w:t>
            </w:r>
          </w:p>
        </w:tc>
        <w:tc>
          <w:tcPr>
            <w:tcW w:w="153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CF1B239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Million VND</w:t>
            </w:r>
          </w:p>
        </w:tc>
        <w:tc>
          <w:tcPr>
            <w:tcW w:w="133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F4EEEC7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3,100,000</w:t>
            </w:r>
          </w:p>
        </w:tc>
        <w:tc>
          <w:tcPr>
            <w:tcW w:w="124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22B195E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3,030,101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A78F327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3,100,000</w:t>
            </w:r>
          </w:p>
        </w:tc>
      </w:tr>
      <w:tr w:rsidR="005C4343" w14:paraId="46356A64" w14:textId="77777777">
        <w:tc>
          <w:tcPr>
            <w:tcW w:w="463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BD4CE8A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2</w:t>
            </w:r>
          </w:p>
        </w:tc>
        <w:tc>
          <w:tcPr>
            <w:tcW w:w="320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E046C48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Profit before tax:</w:t>
            </w:r>
          </w:p>
        </w:tc>
        <w:tc>
          <w:tcPr>
            <w:tcW w:w="153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ABAF293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Million VND</w:t>
            </w:r>
          </w:p>
        </w:tc>
        <w:tc>
          <w:tcPr>
            <w:tcW w:w="133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0F8EB3D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31,000</w:t>
            </w:r>
          </w:p>
        </w:tc>
        <w:tc>
          <w:tcPr>
            <w:tcW w:w="124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86543FA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15,690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FED85DE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31,000</w:t>
            </w:r>
          </w:p>
        </w:tc>
      </w:tr>
      <w:tr w:rsidR="005C4343" w14:paraId="6D0FF6E3" w14:textId="77777777">
        <w:tc>
          <w:tcPr>
            <w:tcW w:w="463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A3F68E1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3</w:t>
            </w:r>
          </w:p>
        </w:tc>
        <w:tc>
          <w:tcPr>
            <w:tcW w:w="320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DA73E74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Profit after tax</w:t>
            </w:r>
          </w:p>
        </w:tc>
        <w:tc>
          <w:tcPr>
            <w:tcW w:w="153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413C341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Million VND</w:t>
            </w:r>
          </w:p>
        </w:tc>
        <w:tc>
          <w:tcPr>
            <w:tcW w:w="133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53669A9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24,800</w:t>
            </w:r>
          </w:p>
        </w:tc>
        <w:tc>
          <w:tcPr>
            <w:tcW w:w="124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3803216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10,986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80E70F3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24,800</w:t>
            </w:r>
          </w:p>
        </w:tc>
      </w:tr>
      <w:tr w:rsidR="005C4343" w14:paraId="373EB6EE" w14:textId="77777777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87F4FCA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4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724AC75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 xml:space="preserve">Dividend payment rate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4F8E790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%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BD837BB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9%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0DEF886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5%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4F0DC42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9%</w:t>
            </w:r>
          </w:p>
        </w:tc>
      </w:tr>
      <w:tr w:rsidR="005C4343" w14:paraId="69B2D018" w14:textId="77777777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BFC91F6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5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37891D7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Welfare fund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37FA82A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Million VND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36342E7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5,000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20A6420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2,309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3AFC8AF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5,000</w:t>
            </w:r>
          </w:p>
        </w:tc>
      </w:tr>
      <w:tr w:rsidR="005C4343" w14:paraId="63382CC2" w14:textId="77777777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BE6167E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6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4F99739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Average income per employee (person/month)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62B2911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Million VND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0D35655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6A3B699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11.5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1A0DC82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12</w:t>
            </w:r>
          </w:p>
        </w:tc>
      </w:tr>
    </w:tbl>
    <w:p w14:paraId="7D19FDE4" w14:textId="77777777" w:rsidR="005C4343" w:rsidRDefault="00611D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Consolidated Business Plan 2024:</w:t>
      </w:r>
    </w:p>
    <w:tbl>
      <w:tblPr>
        <w:tblStyle w:val="a2"/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"/>
        <w:gridCol w:w="2977"/>
        <w:gridCol w:w="1596"/>
        <w:gridCol w:w="1365"/>
        <w:gridCol w:w="1295"/>
        <w:gridCol w:w="1306"/>
      </w:tblGrid>
      <w:tr w:rsidR="005C4343" w14:paraId="4322C304" w14:textId="77777777">
        <w:tc>
          <w:tcPr>
            <w:tcW w:w="47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92E17D9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No.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855E222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Targets plan</w:t>
            </w:r>
          </w:p>
        </w:tc>
        <w:tc>
          <w:tcPr>
            <w:tcW w:w="159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1D10753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Unit</w:t>
            </w:r>
          </w:p>
        </w:tc>
        <w:tc>
          <w:tcPr>
            <w:tcW w:w="136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B12ADE1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Plan 2023</w:t>
            </w:r>
          </w:p>
        </w:tc>
        <w:tc>
          <w:tcPr>
            <w:tcW w:w="129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6A56975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Results 2023</w:t>
            </w:r>
          </w:p>
        </w:tc>
        <w:tc>
          <w:tcPr>
            <w:tcW w:w="130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2CB7A62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Plan 2024</w:t>
            </w:r>
          </w:p>
        </w:tc>
      </w:tr>
      <w:tr w:rsidR="005C4343" w14:paraId="590DD7BE" w14:textId="77777777">
        <w:tc>
          <w:tcPr>
            <w:tcW w:w="47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7A039E2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8D96D3D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Net revenue</w:t>
            </w:r>
          </w:p>
        </w:tc>
        <w:tc>
          <w:tcPr>
            <w:tcW w:w="159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840AAB4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Million VND</w:t>
            </w:r>
          </w:p>
        </w:tc>
        <w:tc>
          <w:tcPr>
            <w:tcW w:w="136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3E1AAA9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3,100,000</w:t>
            </w:r>
          </w:p>
        </w:tc>
        <w:tc>
          <w:tcPr>
            <w:tcW w:w="129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35CE51E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3,064,030</w:t>
            </w:r>
          </w:p>
        </w:tc>
        <w:tc>
          <w:tcPr>
            <w:tcW w:w="130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DCE93ED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3,100,000</w:t>
            </w:r>
          </w:p>
        </w:tc>
      </w:tr>
      <w:tr w:rsidR="005C4343" w14:paraId="5CBA1F0A" w14:textId="77777777">
        <w:tc>
          <w:tcPr>
            <w:tcW w:w="47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31A7C67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2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A232FDF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Profit before tax</w:t>
            </w:r>
          </w:p>
        </w:tc>
        <w:tc>
          <w:tcPr>
            <w:tcW w:w="159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2F03730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Million VND</w:t>
            </w:r>
          </w:p>
        </w:tc>
        <w:tc>
          <w:tcPr>
            <w:tcW w:w="136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481E741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31,000</w:t>
            </w:r>
          </w:p>
        </w:tc>
        <w:tc>
          <w:tcPr>
            <w:tcW w:w="129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6919902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13,892</w:t>
            </w:r>
          </w:p>
        </w:tc>
        <w:tc>
          <w:tcPr>
            <w:tcW w:w="130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AA7A6E4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25,700</w:t>
            </w:r>
          </w:p>
        </w:tc>
      </w:tr>
      <w:tr w:rsidR="005C4343" w14:paraId="199E0C83" w14:textId="77777777">
        <w:tc>
          <w:tcPr>
            <w:tcW w:w="47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B45B4E5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3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C39B577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Profit after corporate income tax</w:t>
            </w:r>
          </w:p>
        </w:tc>
        <w:tc>
          <w:tcPr>
            <w:tcW w:w="159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CF3953B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Million VND</w:t>
            </w:r>
          </w:p>
        </w:tc>
        <w:tc>
          <w:tcPr>
            <w:tcW w:w="136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7B0F424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24,800</w:t>
            </w:r>
          </w:p>
        </w:tc>
        <w:tc>
          <w:tcPr>
            <w:tcW w:w="129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A92DEB9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9,189</w:t>
            </w:r>
          </w:p>
        </w:tc>
        <w:tc>
          <w:tcPr>
            <w:tcW w:w="130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F772A48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19,500</w:t>
            </w:r>
          </w:p>
        </w:tc>
      </w:tr>
      <w:tr w:rsidR="005C4343" w14:paraId="735CAB76" w14:textId="77777777">
        <w:tc>
          <w:tcPr>
            <w:tcW w:w="47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F52B6E9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4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33FE0C4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 xml:space="preserve">Dividend payment rate </w:t>
            </w:r>
          </w:p>
        </w:tc>
        <w:tc>
          <w:tcPr>
            <w:tcW w:w="159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49E63B1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%</w:t>
            </w:r>
          </w:p>
        </w:tc>
        <w:tc>
          <w:tcPr>
            <w:tcW w:w="136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B6368C1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9%</w:t>
            </w:r>
          </w:p>
        </w:tc>
        <w:tc>
          <w:tcPr>
            <w:tcW w:w="129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FB66A5C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5%</w:t>
            </w:r>
          </w:p>
        </w:tc>
        <w:tc>
          <w:tcPr>
            <w:tcW w:w="130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41B38BF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9%</w:t>
            </w:r>
          </w:p>
        </w:tc>
      </w:tr>
      <w:tr w:rsidR="005C4343" w14:paraId="260E51BC" w14:textId="77777777">
        <w:tc>
          <w:tcPr>
            <w:tcW w:w="47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52AB0EC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5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1D22CAC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Average income per employee (person/month)</w:t>
            </w:r>
          </w:p>
        </w:tc>
        <w:tc>
          <w:tcPr>
            <w:tcW w:w="159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7087B48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Million VND</w:t>
            </w:r>
          </w:p>
        </w:tc>
        <w:tc>
          <w:tcPr>
            <w:tcW w:w="136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B6E46DC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12</w:t>
            </w:r>
          </w:p>
        </w:tc>
        <w:tc>
          <w:tcPr>
            <w:tcW w:w="129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0A12742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11.5</w:t>
            </w:r>
          </w:p>
        </w:tc>
        <w:tc>
          <w:tcPr>
            <w:tcW w:w="130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16BF7CE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12</w:t>
            </w:r>
          </w:p>
        </w:tc>
      </w:tr>
    </w:tbl>
    <w:p w14:paraId="0E62601C" w14:textId="77777777" w:rsidR="005C4343" w:rsidRDefault="00611D1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Article 3: </w:t>
      </w:r>
      <w:r>
        <w:rPr>
          <w:rFonts w:ascii="Arial" w:hAnsi="Arial"/>
          <w:color w:val="010000"/>
          <w:sz w:val="20"/>
        </w:rPr>
        <w:t>Approve the Report on the activities of the Supervisory Board in 2023 No. 03/BC-DHDCD.2024 dated March 28, 2024 of Codupha Central Pharmaceutical Joint Stock Company.</w:t>
      </w:r>
    </w:p>
    <w:p w14:paraId="6F0DC3BC" w14:textId="77777777" w:rsidR="005C4343" w:rsidRDefault="00611D1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Article 4: Approve the Proposal No. 01/TTr-DHDCD.2024 dated March 28, 2024 on the audited</w:t>
      </w:r>
      <w:r>
        <w:rPr>
          <w:rFonts w:ascii="Arial" w:hAnsi="Arial"/>
          <w:color w:val="010000"/>
          <w:sz w:val="20"/>
        </w:rPr>
        <w:t xml:space="preserve"> Financial Statements for 2023 of the Company.</w:t>
      </w:r>
    </w:p>
    <w:p w14:paraId="7E1AF645" w14:textId="77777777" w:rsidR="005C4343" w:rsidRDefault="00611D1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Article 5: </w:t>
      </w:r>
      <w:r>
        <w:rPr>
          <w:rFonts w:ascii="Arial" w:hAnsi="Arial"/>
          <w:color w:val="010000"/>
          <w:sz w:val="20"/>
        </w:rPr>
        <w:t>Approve the Proposal No. 02/TTr-DHDCD.2024 dated March 28, 2024 on the distribution of profits in 2023.</w:t>
      </w:r>
    </w:p>
    <w:p w14:paraId="6B66BE1C" w14:textId="77777777" w:rsidR="005C4343" w:rsidRDefault="00611D1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Unit: Million VND</w:t>
      </w:r>
    </w:p>
    <w:tbl>
      <w:tblPr>
        <w:tblStyle w:val="a3"/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5"/>
        <w:gridCol w:w="3705"/>
        <w:gridCol w:w="2415"/>
        <w:gridCol w:w="2235"/>
      </w:tblGrid>
      <w:tr w:rsidR="005C4343" w14:paraId="5B86706A" w14:textId="77777777">
        <w:tc>
          <w:tcPr>
            <w:tcW w:w="64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F981A8D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lastRenderedPageBreak/>
              <w:t>No.</w:t>
            </w:r>
          </w:p>
        </w:tc>
        <w:tc>
          <w:tcPr>
            <w:tcW w:w="370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93F8017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Target</w:t>
            </w:r>
          </w:p>
        </w:tc>
        <w:tc>
          <w:tcPr>
            <w:tcW w:w="241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421EFA3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Value</w:t>
            </w:r>
          </w:p>
        </w:tc>
        <w:tc>
          <w:tcPr>
            <w:tcW w:w="223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4F30EAA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Note</w:t>
            </w:r>
          </w:p>
        </w:tc>
      </w:tr>
      <w:tr w:rsidR="005C4343" w14:paraId="29AFDC23" w14:textId="77777777">
        <w:tc>
          <w:tcPr>
            <w:tcW w:w="64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F93787C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</w:t>
            </w:r>
          </w:p>
        </w:tc>
        <w:tc>
          <w:tcPr>
            <w:tcW w:w="370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7820F0D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Undistributed profits from previous years</w:t>
            </w:r>
          </w:p>
        </w:tc>
        <w:tc>
          <w:tcPr>
            <w:tcW w:w="241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388560B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11,060</w:t>
            </w:r>
          </w:p>
        </w:tc>
        <w:tc>
          <w:tcPr>
            <w:tcW w:w="223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059A230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Code 421a - Balance Sheet</w:t>
            </w:r>
          </w:p>
        </w:tc>
      </w:tr>
      <w:tr w:rsidR="005C4343" w14:paraId="7E197925" w14:textId="77777777">
        <w:tc>
          <w:tcPr>
            <w:tcW w:w="64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A9CF63E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2</w:t>
            </w:r>
          </w:p>
        </w:tc>
        <w:tc>
          <w:tcPr>
            <w:tcW w:w="370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29F85F5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Profit after tax according to separate Financial Statements 2023</w:t>
            </w:r>
          </w:p>
        </w:tc>
        <w:tc>
          <w:tcPr>
            <w:tcW w:w="241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CE2F540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10,986</w:t>
            </w:r>
          </w:p>
        </w:tc>
        <w:tc>
          <w:tcPr>
            <w:tcW w:w="223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9E76BA5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Code 60 - Income Statement</w:t>
            </w:r>
          </w:p>
        </w:tc>
      </w:tr>
      <w:tr w:rsidR="005C4343" w14:paraId="24669F6A" w14:textId="77777777">
        <w:tc>
          <w:tcPr>
            <w:tcW w:w="64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2498956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3</w:t>
            </w:r>
          </w:p>
        </w:tc>
        <w:tc>
          <w:tcPr>
            <w:tcW w:w="370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A267CB0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Accumulated distributable profit after tax</w:t>
            </w:r>
          </w:p>
        </w:tc>
        <w:tc>
          <w:tcPr>
            <w:tcW w:w="241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18A3A9D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22,046</w:t>
            </w:r>
          </w:p>
        </w:tc>
        <w:tc>
          <w:tcPr>
            <w:tcW w:w="223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EF7683B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(1) + (2)</w:t>
            </w:r>
          </w:p>
        </w:tc>
      </w:tr>
      <w:tr w:rsidR="005C4343" w14:paraId="7830AA2F" w14:textId="77777777">
        <w:tc>
          <w:tcPr>
            <w:tcW w:w="64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FFE6247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4</w:t>
            </w:r>
          </w:p>
        </w:tc>
        <w:tc>
          <w:tcPr>
            <w:tcW w:w="370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D0CFD2F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Profit distribution in 2023 as follows:</w:t>
            </w:r>
          </w:p>
        </w:tc>
        <w:tc>
          <w:tcPr>
            <w:tcW w:w="241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659C12C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11,413</w:t>
            </w:r>
          </w:p>
        </w:tc>
        <w:tc>
          <w:tcPr>
            <w:tcW w:w="223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C54B1AB" w14:textId="77777777" w:rsidR="005C4343" w:rsidRDefault="005C4343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5C4343" w14:paraId="014F7CF9" w14:textId="77777777">
        <w:tc>
          <w:tcPr>
            <w:tcW w:w="64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DFDCEB2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4.1</w:t>
            </w:r>
          </w:p>
        </w:tc>
        <w:tc>
          <w:tcPr>
            <w:tcW w:w="370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CEF8C29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Appropriation for bonus and welfare fund</w:t>
            </w:r>
          </w:p>
        </w:tc>
        <w:tc>
          <w:tcPr>
            <w:tcW w:w="241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CE0C05B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2,309</w:t>
            </w:r>
          </w:p>
        </w:tc>
        <w:tc>
          <w:tcPr>
            <w:tcW w:w="223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5405D7E" w14:textId="77777777" w:rsidR="005C4343" w:rsidRDefault="005C4343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5C4343" w14:paraId="0869A72C" w14:textId="77777777">
        <w:tc>
          <w:tcPr>
            <w:tcW w:w="64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17A19E6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4.2</w:t>
            </w:r>
          </w:p>
        </w:tc>
        <w:tc>
          <w:tcPr>
            <w:tcW w:w="370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440644D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Dividend payment 5%:</w:t>
            </w:r>
          </w:p>
        </w:tc>
        <w:tc>
          <w:tcPr>
            <w:tcW w:w="241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5549173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9,104</w:t>
            </w:r>
          </w:p>
        </w:tc>
        <w:tc>
          <w:tcPr>
            <w:tcW w:w="223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85CBA73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Based on outstanding shares</w:t>
            </w:r>
          </w:p>
        </w:tc>
      </w:tr>
      <w:tr w:rsidR="005C4343" w14:paraId="1742A457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83EEAD8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5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0C45297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Undistributed profit carried forward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6A11079" w14:textId="77777777" w:rsidR="005C4343" w:rsidRDefault="0061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10,633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C01AC7A" w14:textId="77777777" w:rsidR="005C4343" w:rsidRDefault="005C4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line="276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</w:tbl>
    <w:p w14:paraId="72A753ED" w14:textId="77777777" w:rsidR="005C4343" w:rsidRDefault="00611D1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Article 6: </w:t>
      </w:r>
      <w:r>
        <w:rPr>
          <w:rFonts w:ascii="Arial" w:hAnsi="Arial"/>
          <w:color w:val="010000"/>
          <w:sz w:val="20"/>
        </w:rPr>
        <w:t>Approve the Proposal No. 03/TTr-DHDCD.2024 dated March 28, 2024 on the production and business plan for 2024.</w:t>
      </w:r>
    </w:p>
    <w:p w14:paraId="184B9F64" w14:textId="77777777" w:rsidR="005C4343" w:rsidRDefault="00611D1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Article 7: </w:t>
      </w:r>
      <w:r>
        <w:rPr>
          <w:rFonts w:ascii="Arial" w:hAnsi="Arial"/>
          <w:color w:val="010000"/>
          <w:sz w:val="20"/>
        </w:rPr>
        <w:t>Approve the Proposal No. 04/TTr-DHDCD.2024 dated March 28, 2024 on the salary and remuneration of the Board of Directors and Supervisor</w:t>
      </w:r>
      <w:r>
        <w:rPr>
          <w:rFonts w:ascii="Arial" w:hAnsi="Arial"/>
          <w:color w:val="010000"/>
          <w:sz w:val="20"/>
        </w:rPr>
        <w:t>y Board.</w:t>
      </w:r>
    </w:p>
    <w:p w14:paraId="282E6F36" w14:textId="77777777" w:rsidR="005C4343" w:rsidRDefault="00611D1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Article 8: Approve the Proposal No. 05/TTr-DHDCD.2024 dated March 28, 2024 on the salary of the Board of Management and Chief Accountant.</w:t>
      </w:r>
    </w:p>
    <w:p w14:paraId="186D20B8" w14:textId="77777777" w:rsidR="005C4343" w:rsidRDefault="00611D1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Article 9: </w:t>
      </w:r>
      <w:r>
        <w:rPr>
          <w:rFonts w:ascii="Arial" w:hAnsi="Arial"/>
          <w:color w:val="010000"/>
          <w:sz w:val="20"/>
        </w:rPr>
        <w:t>Approve the Proposal No. 06/TTr-DHDCD.2024 dated March 28, 2024 on relocating the head office of Codupha Ce</w:t>
      </w:r>
      <w:r>
        <w:rPr>
          <w:rFonts w:ascii="Arial" w:hAnsi="Arial"/>
          <w:color w:val="010000"/>
          <w:sz w:val="20"/>
        </w:rPr>
        <w:t>ntral Pharmaceutical Joint Stock Company.</w:t>
      </w:r>
    </w:p>
    <w:p w14:paraId="2D8CEBDE" w14:textId="77777777" w:rsidR="005C4343" w:rsidRDefault="00611D1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Article 10: </w:t>
      </w:r>
      <w:r>
        <w:rPr>
          <w:rFonts w:ascii="Arial" w:hAnsi="Arial"/>
          <w:color w:val="010000"/>
          <w:sz w:val="20"/>
        </w:rPr>
        <w:t>Approve the Proposal No. 07/TTr-DHDCD.2024 dated March 28, 2024 on selecting the auditing company for the Financial Statements 2024.</w:t>
      </w:r>
    </w:p>
    <w:p w14:paraId="12415FE5" w14:textId="77777777" w:rsidR="005C4343" w:rsidRDefault="00611D1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Article 11: Approve the Proposal No. 08/TTr-DHDCD.2024 dated March 28, 2024 on amending the Charter on organization and operation of Codupha Central Pharmaceutical Joint Stock Company.</w:t>
      </w:r>
    </w:p>
    <w:p w14:paraId="7108892A" w14:textId="77777777" w:rsidR="005C4343" w:rsidRDefault="00611D1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07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Article 12: Approve the Proposal No. 09/TTr-DHDCD.2024 dated April 12, </w:t>
      </w:r>
      <w:r>
        <w:rPr>
          <w:rFonts w:ascii="Arial" w:hAnsi="Arial"/>
          <w:color w:val="010000"/>
          <w:sz w:val="20"/>
        </w:rPr>
        <w:t>2024 on approving the resignation letter for the position of Member of the Supervisory Board of Codupha Central Pharmaceutical Joint Stock Company.</w:t>
      </w:r>
      <w:r>
        <w:rPr>
          <w:rFonts w:ascii="Arial" w:hAnsi="Arial"/>
          <w:color w:val="010000"/>
          <w:sz w:val="20"/>
        </w:rPr>
        <w:t xml:space="preserve"> </w:t>
      </w:r>
    </w:p>
    <w:p w14:paraId="6F82FA34" w14:textId="77777777" w:rsidR="005C4343" w:rsidRDefault="00611D1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Article 13: </w:t>
      </w:r>
      <w:r>
        <w:rPr>
          <w:rFonts w:ascii="Arial" w:hAnsi="Arial"/>
          <w:color w:val="010000"/>
          <w:sz w:val="20"/>
        </w:rPr>
        <w:t>Approve the Proposal No. 10/TTr-DHDCD.2024 dated April 24, 2024 on electing an additional membe</w:t>
      </w:r>
      <w:r>
        <w:rPr>
          <w:rFonts w:ascii="Arial" w:hAnsi="Arial"/>
          <w:color w:val="010000"/>
          <w:sz w:val="20"/>
        </w:rPr>
        <w:t>r of the Supervisory Board of Codupha Central Pharmaceutical Joint Stock Company for the 2021-2026 term.</w:t>
      </w:r>
    </w:p>
    <w:p w14:paraId="0EC5971A" w14:textId="77777777" w:rsidR="005C4343" w:rsidRDefault="00611D1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Article 14: Terms of enforcement</w:t>
      </w:r>
    </w:p>
    <w:p w14:paraId="4D427DD0" w14:textId="77777777" w:rsidR="005C4343" w:rsidRDefault="00611D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3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This General Mandate was approved by the Annual General Meeting of Shareholders 2024 of Codupha Central Pharmaceutical</w:t>
      </w:r>
      <w:r>
        <w:rPr>
          <w:rFonts w:ascii="Arial" w:hAnsi="Arial"/>
          <w:color w:val="010000"/>
          <w:sz w:val="20"/>
        </w:rPr>
        <w:t xml:space="preserve"> Joint Stock Company and takes effect from the date of signing.</w:t>
      </w:r>
    </w:p>
    <w:p w14:paraId="0AE16557" w14:textId="77777777" w:rsidR="005C4343" w:rsidRDefault="00611D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6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Members of the Board of Directors, Board of Management and shareholders of Codupha Central Pharmaceutical Joint Stock Company are responsible for implementing this General Mandate.</w:t>
      </w:r>
    </w:p>
    <w:sectPr w:rsidR="005C4343">
      <w:pgSz w:w="11907" w:h="16839"/>
      <w:pgMar w:top="1440" w:right="1440" w:bottom="1440" w:left="1440" w:header="0" w:footer="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C1051"/>
    <w:multiLevelType w:val="multilevel"/>
    <w:tmpl w:val="280A7D74"/>
    <w:lvl w:ilvl="0">
      <w:numFmt w:val="bullet"/>
      <w:lvlText w:val="*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B785128"/>
    <w:multiLevelType w:val="multilevel"/>
    <w:tmpl w:val="4B1AA9E8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CE83092"/>
    <w:multiLevelType w:val="multilevel"/>
    <w:tmpl w:val="1B32D12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343"/>
    <w:rsid w:val="005C4343"/>
    <w:rsid w:val="0061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739FA"/>
  <w15:docId w15:val="{2865B5E6-AD5E-4C63-8FB1-64781633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ing20">
    <w:name w:val="Heading #2_"/>
    <w:basedOn w:val="DefaultParagraphFont"/>
    <w:link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/>
      <w:iCs/>
      <w:smallCaps w:val="0"/>
      <w:strike w:val="0"/>
      <w:color w:val="D14357"/>
      <w:sz w:val="20"/>
      <w:szCs w:val="20"/>
      <w:u w:val="none"/>
      <w:shd w:val="clear" w:color="auto" w:fill="auto"/>
    </w:rPr>
  </w:style>
  <w:style w:type="character" w:customStyle="1" w:styleId="Heading30">
    <w:name w:val="Heading #3_"/>
    <w:basedOn w:val="DefaultParagraphFont"/>
    <w:link w:val="Heading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pPr>
      <w:ind w:firstLine="140"/>
    </w:pPr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Heading21">
    <w:name w:val="Heading #2"/>
    <w:basedOn w:val="Normal"/>
    <w:link w:val="Heading20"/>
    <w:pPr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50">
    <w:name w:val="Body text (5)"/>
    <w:basedOn w:val="Normal"/>
    <w:link w:val="Bodytext5"/>
    <w:pPr>
      <w:spacing w:line="180" w:lineRule="auto"/>
      <w:jc w:val="right"/>
    </w:pPr>
    <w:rPr>
      <w:rFonts w:ascii="Arial" w:eastAsia="Arial" w:hAnsi="Arial" w:cs="Arial"/>
      <w:i/>
      <w:iCs/>
      <w:color w:val="D14357"/>
      <w:sz w:val="20"/>
      <w:szCs w:val="20"/>
    </w:rPr>
  </w:style>
  <w:style w:type="paragraph" w:customStyle="1" w:styleId="Heading31">
    <w:name w:val="Heading #3"/>
    <w:basedOn w:val="Normal"/>
    <w:link w:val="Heading30"/>
    <w:pPr>
      <w:spacing w:line="274" w:lineRule="auto"/>
      <w:ind w:firstLine="20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ablecaption0">
    <w:name w:val="Table caption"/>
    <w:basedOn w:val="Normal"/>
    <w:link w:val="Tablecaption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pPr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40">
    <w:name w:val="Body text (4)"/>
    <w:basedOn w:val="Normal"/>
    <w:link w:val="Bodytext4"/>
    <w:pPr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Heading11">
    <w:name w:val="Heading #1"/>
    <w:basedOn w:val="Normal"/>
    <w:link w:val="Heading10"/>
    <w:pPr>
      <w:spacing w:line="180" w:lineRule="auto"/>
      <w:ind w:firstLine="420"/>
      <w:outlineLvl w:val="0"/>
    </w:pPr>
    <w:rPr>
      <w:rFonts w:ascii="Times New Roman" w:eastAsia="Times New Roman" w:hAnsi="Times New Roman" w:cs="Times New Roman"/>
      <w:sz w:val="48"/>
      <w:szCs w:val="48"/>
    </w:rPr>
  </w:style>
  <w:style w:type="paragraph" w:styleId="ListParagraph">
    <w:name w:val="List Paragraph"/>
    <w:basedOn w:val="Normal"/>
    <w:uiPriority w:val="34"/>
    <w:qFormat/>
    <w:rsid w:val="00CE118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nCb88D3JMRLivtm4ARVe/nf7FA==">CgMxLjAyCGguZ2pkZ3hzOAByITFzVXVsVU5nUnA4UzdBNHpRVUNhc1h6RDd2VG9mUWZoUA==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Đinh Thị Chung TA45A</cp:lastModifiedBy>
  <cp:revision>2</cp:revision>
  <dcterms:created xsi:type="dcterms:W3CDTF">2024-05-04T04:07:00Z</dcterms:created>
  <dcterms:modified xsi:type="dcterms:W3CDTF">2024-05-06T02:02:00Z</dcterms:modified>
</cp:coreProperties>
</file>