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7969" w:rsidRPr="005A08A8" w:rsidRDefault="005A08A8" w:rsidP="00F17EB4">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bookmarkStart w:id="0" w:name="_GoBack"/>
      <w:r w:rsidRPr="005A08A8">
        <w:rPr>
          <w:rFonts w:ascii="Arial" w:hAnsi="Arial" w:cs="Arial"/>
          <w:b/>
          <w:bCs/>
          <w:color w:val="010000"/>
          <w:sz w:val="20"/>
        </w:rPr>
        <w:t>CII120018:</w:t>
      </w:r>
      <w:r w:rsidRPr="005A08A8">
        <w:rPr>
          <w:rFonts w:ascii="Arial" w:hAnsi="Arial" w:cs="Arial"/>
          <w:b/>
          <w:color w:val="010000"/>
          <w:sz w:val="20"/>
        </w:rPr>
        <w:t xml:space="preserve"> Information disclosure on convening the Annual General Meeting of Shareholders 2023</w:t>
      </w:r>
    </w:p>
    <w:p w14:paraId="00000002" w14:textId="77777777" w:rsidR="009D7969" w:rsidRPr="005A08A8" w:rsidRDefault="005A08A8" w:rsidP="00F17EB4">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5A08A8">
        <w:rPr>
          <w:rFonts w:ascii="Arial" w:hAnsi="Arial" w:cs="Arial"/>
          <w:color w:val="010000"/>
          <w:sz w:val="20"/>
        </w:rPr>
        <w:t>On April 24, 2024, Ho Chi Minh City Infrastructure Investment Joint Stock Company announced Official Dispatch No. 411/2024/CV-CH as follows:</w:t>
      </w:r>
    </w:p>
    <w:p w14:paraId="00000005" w14:textId="77777777" w:rsidR="009D7969" w:rsidRPr="005A08A8" w:rsidRDefault="005A08A8" w:rsidP="00F17EB4">
      <w:pPr>
        <w:numPr>
          <w:ilvl w:val="0"/>
          <w:numId w:val="1"/>
        </w:numPr>
        <w:pBdr>
          <w:top w:val="nil"/>
          <w:left w:val="nil"/>
          <w:bottom w:val="nil"/>
          <w:right w:val="nil"/>
          <w:between w:val="nil"/>
        </w:pBdr>
        <w:tabs>
          <w:tab w:val="left" w:pos="270"/>
          <w:tab w:val="left" w:pos="880"/>
        </w:tabs>
        <w:spacing w:after="120" w:line="360" w:lineRule="auto"/>
        <w:jc w:val="both"/>
        <w:rPr>
          <w:rFonts w:ascii="Arial" w:eastAsia="Arial" w:hAnsi="Arial" w:cs="Arial"/>
          <w:color w:val="010000"/>
          <w:sz w:val="20"/>
          <w:szCs w:val="20"/>
        </w:rPr>
      </w:pPr>
      <w:r w:rsidRPr="005A08A8">
        <w:rPr>
          <w:rFonts w:ascii="Arial" w:hAnsi="Arial" w:cs="Arial"/>
          <w:color w:val="010000"/>
          <w:sz w:val="20"/>
        </w:rPr>
        <w:t>Participant: All shareholders whose names are on the list of securities owners on the record date of March 26, 2024.</w:t>
      </w:r>
    </w:p>
    <w:p w14:paraId="00000006" w14:textId="77777777" w:rsidR="009D7969" w:rsidRPr="005A08A8" w:rsidRDefault="005A08A8" w:rsidP="00F17EB4">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5A08A8">
        <w:rPr>
          <w:rFonts w:ascii="Arial" w:hAnsi="Arial" w:cs="Arial"/>
          <w:color w:val="010000"/>
          <w:sz w:val="20"/>
        </w:rPr>
        <w:t>Time: 8 a.m., April 21, 2024.</w:t>
      </w:r>
    </w:p>
    <w:p w14:paraId="00000007" w14:textId="77777777" w:rsidR="009D7969" w:rsidRPr="005A08A8" w:rsidRDefault="005A08A8" w:rsidP="00F17EB4">
      <w:pPr>
        <w:numPr>
          <w:ilvl w:val="0"/>
          <w:numId w:val="1"/>
        </w:numPr>
        <w:pBdr>
          <w:top w:val="nil"/>
          <w:left w:val="nil"/>
          <w:bottom w:val="nil"/>
          <w:right w:val="nil"/>
          <w:between w:val="nil"/>
        </w:pBdr>
        <w:tabs>
          <w:tab w:val="left" w:pos="270"/>
          <w:tab w:val="left" w:pos="880"/>
        </w:tabs>
        <w:spacing w:after="120" w:line="360" w:lineRule="auto"/>
        <w:jc w:val="both"/>
        <w:rPr>
          <w:rFonts w:ascii="Arial" w:eastAsia="Arial" w:hAnsi="Arial" w:cs="Arial"/>
          <w:color w:val="010000"/>
          <w:sz w:val="20"/>
          <w:szCs w:val="20"/>
        </w:rPr>
      </w:pPr>
      <w:r w:rsidRPr="005A08A8">
        <w:rPr>
          <w:rFonts w:ascii="Arial" w:hAnsi="Arial" w:cs="Arial"/>
          <w:color w:val="010000"/>
          <w:sz w:val="20"/>
        </w:rPr>
        <w:t>Venue: Guest House Hall T78, 145 Ly Chinh Thang Street, Ward 7, District 3, Ho Chi Minh City.</w:t>
      </w:r>
    </w:p>
    <w:p w14:paraId="00000008" w14:textId="77777777" w:rsidR="009D7969" w:rsidRPr="005A08A8" w:rsidRDefault="005A08A8" w:rsidP="00F17EB4">
      <w:pPr>
        <w:numPr>
          <w:ilvl w:val="0"/>
          <w:numId w:val="1"/>
        </w:numPr>
        <w:pBdr>
          <w:top w:val="nil"/>
          <w:left w:val="nil"/>
          <w:bottom w:val="nil"/>
          <w:right w:val="nil"/>
          <w:between w:val="nil"/>
        </w:pBdr>
        <w:tabs>
          <w:tab w:val="left" w:pos="270"/>
          <w:tab w:val="left" w:pos="880"/>
        </w:tabs>
        <w:spacing w:after="120" w:line="360" w:lineRule="auto"/>
        <w:jc w:val="both"/>
        <w:rPr>
          <w:rFonts w:ascii="Arial" w:eastAsia="Arial" w:hAnsi="Arial" w:cs="Arial"/>
          <w:color w:val="010000"/>
          <w:sz w:val="20"/>
          <w:szCs w:val="20"/>
        </w:rPr>
      </w:pPr>
      <w:r w:rsidRPr="005A08A8">
        <w:rPr>
          <w:rFonts w:ascii="Arial" w:hAnsi="Arial" w:cs="Arial"/>
          <w:color w:val="010000"/>
          <w:sz w:val="20"/>
        </w:rPr>
        <w:t>Expected content: The content is under the authority of the Annual General Meeting of Shareholders 2023 according to regulations. The specific one will be announced in the invitation to attend the 2nd Annual General Meeting of Shareholders 2023.</w:t>
      </w:r>
      <w:bookmarkEnd w:id="0"/>
    </w:p>
    <w:sectPr w:rsidR="009D7969" w:rsidRPr="005A08A8" w:rsidSect="005A08A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EA4"/>
    <w:multiLevelType w:val="multilevel"/>
    <w:tmpl w:val="92C8A5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69"/>
    <w:rsid w:val="005A08A8"/>
    <w:rsid w:val="009D7969"/>
    <w:rsid w:val="00F17EB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714671-A4DD-40C0-938B-709E479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C4A57"/>
      <w:sz w:val="16"/>
      <w:szCs w:val="16"/>
      <w:u w:val="none"/>
    </w:rPr>
  </w:style>
  <w:style w:type="character" w:customStyle="1" w:styleId="Bodytext3">
    <w:name w:val="Body text (3)_"/>
    <w:basedOn w:val="DefaultParagraphFont"/>
    <w:link w:val="Bodytext30"/>
    <w:rPr>
      <w:rFonts w:ascii="Arial" w:eastAsia="Arial" w:hAnsi="Arial" w:cs="Arial"/>
      <w:b w:val="0"/>
      <w:bCs w:val="0"/>
      <w:i w:val="0"/>
      <w:iCs w:val="0"/>
      <w:smallCaps/>
      <w:strike w:val="0"/>
      <w:color w:val="CC4A57"/>
      <w:sz w:val="22"/>
      <w:szCs w:val="22"/>
      <w:u w:val="none"/>
    </w:rPr>
  </w:style>
  <w:style w:type="paragraph" w:styleId="BodyText">
    <w:name w:val="Body Text"/>
    <w:basedOn w:val="Normal"/>
    <w:link w:val="BodyTextChar"/>
    <w:qFormat/>
    <w:pPr>
      <w:spacing w:line="247"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spacing w:line="298" w:lineRule="auto"/>
      <w:ind w:left="2150"/>
      <w:jc w:val="center"/>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ind w:left="5100"/>
    </w:pPr>
    <w:rPr>
      <w:rFonts w:ascii="Arial" w:eastAsia="Arial" w:hAnsi="Arial" w:cs="Arial"/>
      <w:color w:val="CC4A57"/>
      <w:sz w:val="16"/>
      <w:szCs w:val="16"/>
    </w:rPr>
  </w:style>
  <w:style w:type="paragraph" w:customStyle="1" w:styleId="Bodytext30">
    <w:name w:val="Body text (3)"/>
    <w:basedOn w:val="Normal"/>
    <w:link w:val="Bodytext3"/>
    <w:pPr>
      <w:spacing w:line="214" w:lineRule="auto"/>
      <w:ind w:left="4980"/>
    </w:pPr>
    <w:rPr>
      <w:rFonts w:ascii="Arial" w:eastAsia="Arial" w:hAnsi="Arial" w:cs="Arial"/>
      <w:smallCaps/>
      <w:color w:val="CC4A57"/>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B6uL+y5b+DTcgUY9ApGMbKd31Q==">CgMxLjA4AHIhMVIwVWZreWhRNFhWMzhlaVZqN3FNVmk4RWVBUDkxNGtC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2024-04-26T04:33:00Z</dcterms:created>
  <dcterms:modified xsi:type="dcterms:W3CDTF">2024-05-02T10:04:00Z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1267314608a1ef1f3191850f4ede5b8ed43e94ff89ce91c0cce852b3852c84cb</vt:lpwstr>
  </property>
</Properties>
</file>