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F6" w:rsidRDefault="006712F7">
      <w:pPr>
        <w:pBdr>
          <w:top w:val="nil"/>
          <w:left w:val="nil"/>
          <w:bottom w:val="nil"/>
          <w:right w:val="nil"/>
          <w:between w:val="nil"/>
        </w:pBdr>
        <w:tabs>
          <w:tab w:val="left" w:pos="5122"/>
        </w:tabs>
        <w:spacing w:after="120" w:line="360" w:lineRule="auto"/>
        <w:rPr>
          <w:rFonts w:ascii="Arial" w:eastAsia="Arial" w:hAnsi="Arial" w:cs="Arial"/>
          <w:b/>
          <w:color w:val="010000"/>
          <w:sz w:val="20"/>
          <w:szCs w:val="20"/>
        </w:rPr>
      </w:pPr>
      <w:bookmarkStart w:id="0" w:name="_heading=h.gjdgxs"/>
      <w:bookmarkEnd w:id="0"/>
      <w:r>
        <w:rPr>
          <w:rFonts w:ascii="Arial" w:hAnsi="Arial"/>
          <w:b/>
          <w:color w:val="010000"/>
          <w:sz w:val="20"/>
        </w:rPr>
        <w:t>DNH: Annual General Mandate 2024</w:t>
      </w:r>
    </w:p>
    <w:p w:rsidR="003B38F6" w:rsidRDefault="006712F7">
      <w:pPr>
        <w:pBdr>
          <w:top w:val="nil"/>
          <w:left w:val="nil"/>
          <w:bottom w:val="nil"/>
          <w:right w:val="nil"/>
          <w:between w:val="nil"/>
        </w:pBdr>
        <w:tabs>
          <w:tab w:val="left" w:pos="5122"/>
        </w:tabs>
        <w:spacing w:after="120" w:line="360" w:lineRule="auto"/>
        <w:rPr>
          <w:rFonts w:ascii="Arial" w:eastAsia="Arial" w:hAnsi="Arial" w:cs="Arial"/>
          <w:color w:val="010000"/>
          <w:sz w:val="20"/>
          <w:szCs w:val="20"/>
        </w:rPr>
      </w:pPr>
      <w:r>
        <w:rPr>
          <w:rFonts w:ascii="Arial" w:hAnsi="Arial"/>
          <w:color w:val="010000"/>
          <w:sz w:val="20"/>
        </w:rPr>
        <w:t xml:space="preserve">On April 26, 2024, Da </w:t>
      </w:r>
      <w:proofErr w:type="spellStart"/>
      <w:r>
        <w:rPr>
          <w:rFonts w:ascii="Arial" w:hAnsi="Arial"/>
          <w:color w:val="010000"/>
          <w:sz w:val="20"/>
        </w:rPr>
        <w:t>Nhim</w:t>
      </w:r>
      <w:proofErr w:type="spellEnd"/>
      <w:r>
        <w:rPr>
          <w:rFonts w:ascii="Arial" w:hAnsi="Arial"/>
          <w:color w:val="010000"/>
          <w:sz w:val="20"/>
        </w:rPr>
        <w:t xml:space="preserve"> - Ham </w:t>
      </w:r>
      <w:proofErr w:type="spellStart"/>
      <w:r>
        <w:rPr>
          <w:rFonts w:ascii="Arial" w:hAnsi="Arial"/>
          <w:color w:val="010000"/>
          <w:sz w:val="20"/>
        </w:rPr>
        <w:t>Thuan</w:t>
      </w:r>
      <w:proofErr w:type="spellEnd"/>
      <w:r>
        <w:rPr>
          <w:rFonts w:ascii="Arial" w:hAnsi="Arial"/>
          <w:color w:val="010000"/>
          <w:sz w:val="20"/>
        </w:rPr>
        <w:t xml:space="preserve"> - Da </w:t>
      </w:r>
      <w:proofErr w:type="spellStart"/>
      <w:r>
        <w:rPr>
          <w:rFonts w:ascii="Arial" w:hAnsi="Arial"/>
          <w:color w:val="010000"/>
          <w:sz w:val="20"/>
        </w:rPr>
        <w:t>Mi</w:t>
      </w:r>
      <w:proofErr w:type="spellEnd"/>
      <w:r>
        <w:rPr>
          <w:rFonts w:ascii="Arial" w:hAnsi="Arial"/>
          <w:color w:val="010000"/>
          <w:sz w:val="20"/>
        </w:rPr>
        <w:t xml:space="preserve"> Hydro Power Joint Stock Company announced General Mandate No. 617/NQ-DHDCD as follows:</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1. </w:t>
      </w:r>
      <w:r>
        <w:rPr>
          <w:rFonts w:ascii="Arial" w:hAnsi="Arial"/>
          <w:color w:val="010000"/>
          <w:sz w:val="20"/>
        </w:rPr>
        <w:t>Approve the results of production and business tasks in 2023 and the production and business plan for 2024 in Report No. 141/BC-TDDHD of the General Manager dated April 25, 2024, with the main targets as follows:</w:t>
      </w:r>
    </w:p>
    <w:p w:rsidR="003B38F6" w:rsidRDefault="006712F7">
      <w:pPr>
        <w:numPr>
          <w:ilvl w:val="0"/>
          <w:numId w:val="5"/>
        </w:numPr>
        <w:pBdr>
          <w:top w:val="nil"/>
          <w:left w:val="nil"/>
          <w:bottom w:val="nil"/>
          <w:right w:val="nil"/>
          <w:between w:val="nil"/>
        </w:pBdr>
        <w:tabs>
          <w:tab w:val="left" w:pos="1249"/>
        </w:tabs>
        <w:spacing w:after="120" w:line="360" w:lineRule="auto"/>
        <w:rPr>
          <w:rFonts w:ascii="Arial" w:eastAsia="Arial" w:hAnsi="Arial" w:cs="Arial"/>
          <w:color w:val="010000"/>
          <w:sz w:val="20"/>
          <w:szCs w:val="20"/>
        </w:rPr>
      </w:pPr>
      <w:r>
        <w:rPr>
          <w:rFonts w:ascii="Arial" w:hAnsi="Arial"/>
          <w:color w:val="010000"/>
          <w:sz w:val="20"/>
        </w:rPr>
        <w:t>The implementation’s results of 2023:</w:t>
      </w:r>
    </w:p>
    <w:p w:rsidR="003B38F6" w:rsidRDefault="006712F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 xml:space="preserve">Production and Business Results 2023 </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
        <w:gridCol w:w="3780"/>
        <w:gridCol w:w="1170"/>
        <w:gridCol w:w="990"/>
        <w:gridCol w:w="1235"/>
        <w:gridCol w:w="1485"/>
      </w:tblGrid>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Unit</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Plan 2023 </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Results 2023 </w:t>
            </w:r>
          </w:p>
        </w:tc>
        <w:tc>
          <w:tcPr>
            <w:tcW w:w="148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Result/Plan (%)</w:t>
            </w: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Electricity output</w:t>
            </w:r>
          </w:p>
        </w:tc>
        <w:tc>
          <w:tcPr>
            <w:tcW w:w="117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99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23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Electricity production output</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kWh</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2,884.28</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3,099.98</w:t>
            </w:r>
          </w:p>
        </w:tc>
        <w:tc>
          <w:tcPr>
            <w:tcW w:w="148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107.48</w:t>
            </w: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Commercial electricity output</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kWh</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2,860.49</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3,077.39</w:t>
            </w:r>
          </w:p>
        </w:tc>
        <w:tc>
          <w:tcPr>
            <w:tcW w:w="148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107.58</w:t>
            </w: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revenue</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2,263,379</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2,431,740</w:t>
            </w:r>
          </w:p>
        </w:tc>
        <w:tc>
          <w:tcPr>
            <w:tcW w:w="148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107.44</w:t>
            </w: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Revenue from electricity production and business activities (including interest on deposits)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2,226,990</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2,375,166</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Revenue from financial activities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26,989</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52,837</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Other revenue</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9,400</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3,737</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III</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expenses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1,191,093</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1,062,998</w:t>
            </w:r>
          </w:p>
        </w:tc>
        <w:tc>
          <w:tcPr>
            <w:tcW w:w="148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89.25</w:t>
            </w: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Cost of electricity production activities (including items that increase/decrease electricity prices)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1,182,633</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1,059,631</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3B38F6" w:rsidP="00852B0F">
            <w:pPr>
              <w:pBdr>
                <w:top w:val="nil"/>
                <w:left w:val="nil"/>
                <w:bottom w:val="nil"/>
                <w:right w:val="nil"/>
                <w:between w:val="nil"/>
              </w:pBdr>
              <w:spacing w:line="360" w:lineRule="auto"/>
              <w:rPr>
                <w:rFonts w:ascii="Arial" w:eastAsia="Arial" w:hAnsi="Arial" w:cs="Arial"/>
                <w:color w:val="010000"/>
                <w:sz w:val="20"/>
                <w:szCs w:val="20"/>
              </w:rPr>
            </w:pP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In which: </w:t>
            </w:r>
            <w:r>
              <w:rPr>
                <w:rFonts w:ascii="Arial" w:hAnsi="Arial"/>
                <w:color w:val="010000"/>
                <w:sz w:val="20"/>
              </w:rPr>
              <w:t>Profit (Loss) from exchange rate differences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(103,948)</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25,441</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Financial expenses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3B38F6" w:rsidP="00852B0F">
            <w:pPr>
              <w:pBdr>
                <w:top w:val="nil"/>
                <w:left w:val="nil"/>
                <w:bottom w:val="nil"/>
                <w:right w:val="nil"/>
                <w:between w:val="nil"/>
              </w:pBdr>
              <w:spacing w:line="360" w:lineRule="auto"/>
              <w:rPr>
                <w:rFonts w:ascii="Arial" w:eastAsia="Arial" w:hAnsi="Arial" w:cs="Arial"/>
                <w:color w:val="010000"/>
                <w:sz w:val="20"/>
                <w:szCs w:val="20"/>
              </w:rPr>
            </w:pP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Other expenses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8,460</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3,367</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IV</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profit before tax</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1,072,286</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1,368,742</w:t>
            </w:r>
          </w:p>
        </w:tc>
        <w:tc>
          <w:tcPr>
            <w:tcW w:w="1485" w:type="dxa"/>
            <w:shd w:val="clear" w:color="auto" w:fill="auto"/>
            <w:tcMar>
              <w:top w:w="0" w:type="dxa"/>
              <w:bottom w:w="0" w:type="dxa"/>
            </w:tcMar>
            <w:vAlign w:val="center"/>
          </w:tcPr>
          <w:p w:rsidR="003B38F6" w:rsidRDefault="006712F7" w:rsidP="00852B0F">
            <w:pPr>
              <w:spacing w:line="360" w:lineRule="auto"/>
              <w:rPr>
                <w:rFonts w:ascii="Arial" w:eastAsia="Arial" w:hAnsi="Arial" w:cs="Arial"/>
                <w:color w:val="010000"/>
                <w:sz w:val="20"/>
                <w:szCs w:val="20"/>
              </w:rPr>
            </w:pPr>
            <w:r>
              <w:rPr>
                <w:rFonts w:ascii="Arial" w:hAnsi="Arial"/>
                <w:color w:val="010000"/>
                <w:sz w:val="20"/>
              </w:rPr>
              <w:t>127.65</w:t>
            </w: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from electricity production and business activities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1,044,357</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1,315,535</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from financial activities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26,989</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52,837</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Other profits</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940</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370</w:t>
            </w:r>
          </w:p>
        </w:tc>
        <w:tc>
          <w:tcPr>
            <w:tcW w:w="148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V</w:t>
            </w:r>
          </w:p>
        </w:tc>
        <w:tc>
          <w:tcPr>
            <w:tcW w:w="378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after tax</w:t>
            </w:r>
          </w:p>
        </w:tc>
        <w:tc>
          <w:tcPr>
            <w:tcW w:w="11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99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857,829</w:t>
            </w:r>
          </w:p>
        </w:tc>
        <w:tc>
          <w:tcPr>
            <w:tcW w:w="123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1,109,931</w:t>
            </w:r>
          </w:p>
        </w:tc>
        <w:tc>
          <w:tcPr>
            <w:tcW w:w="1485" w:type="dxa"/>
            <w:shd w:val="clear" w:color="auto" w:fill="auto"/>
            <w:tcMar>
              <w:top w:w="0" w:type="dxa"/>
              <w:bottom w:w="0" w:type="dxa"/>
            </w:tcMar>
            <w:vAlign w:val="center"/>
          </w:tcPr>
          <w:p w:rsidR="003B38F6" w:rsidRDefault="006712F7" w:rsidP="00852B0F">
            <w:pPr>
              <w:spacing w:line="360" w:lineRule="auto"/>
              <w:rPr>
                <w:rFonts w:ascii="Arial" w:eastAsia="Arial" w:hAnsi="Arial" w:cs="Arial"/>
                <w:color w:val="010000"/>
                <w:sz w:val="20"/>
                <w:szCs w:val="20"/>
              </w:rPr>
            </w:pPr>
            <w:r>
              <w:rPr>
                <w:rFonts w:ascii="Arial" w:hAnsi="Arial"/>
                <w:color w:val="010000"/>
                <w:sz w:val="20"/>
              </w:rPr>
              <w:t>129.39</w:t>
            </w:r>
          </w:p>
        </w:tc>
      </w:tr>
    </w:tbl>
    <w:p w:rsidR="003B38F6" w:rsidRDefault="006712F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Results of construction inve</w:t>
      </w:r>
      <w:r w:rsidR="00852B0F">
        <w:rPr>
          <w:rFonts w:ascii="Arial" w:hAnsi="Arial"/>
          <w:color w:val="010000"/>
          <w:sz w:val="20"/>
        </w:rPr>
        <w:t>stment - development investment</w:t>
      </w:r>
      <w:r>
        <w:rPr>
          <w:rFonts w:ascii="Arial" w:hAnsi="Arial"/>
          <w:color w:val="010000"/>
          <w:sz w:val="20"/>
        </w:rPr>
        <w:t xml:space="preserve"> in 2023</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3108"/>
        <w:gridCol w:w="1089"/>
        <w:gridCol w:w="1367"/>
        <w:gridCol w:w="1500"/>
        <w:gridCol w:w="1508"/>
      </w:tblGrid>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31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08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Unit</w:t>
            </w:r>
          </w:p>
        </w:tc>
        <w:tc>
          <w:tcPr>
            <w:tcW w:w="1367"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2023 Plan</w:t>
            </w:r>
          </w:p>
        </w:tc>
        <w:tc>
          <w:tcPr>
            <w:tcW w:w="150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2023 Results</w:t>
            </w:r>
          </w:p>
        </w:tc>
        <w:tc>
          <w:tcPr>
            <w:tcW w:w="15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Result/Plan</w:t>
            </w:r>
            <w:r w:rsidR="00852B0F">
              <w:rPr>
                <w:rFonts w:ascii="Arial" w:eastAsia="Arial" w:hAnsi="Arial" w:cs="Arial"/>
                <w:color w:val="010000"/>
                <w:sz w:val="20"/>
                <w:szCs w:val="20"/>
              </w:rPr>
              <w:t xml:space="preserve"> </w:t>
            </w:r>
            <w:r>
              <w:rPr>
                <w:rFonts w:ascii="Arial" w:hAnsi="Arial"/>
                <w:color w:val="010000"/>
                <w:sz w:val="20"/>
              </w:rPr>
              <w:t>(%)</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1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Construction investment</w:t>
            </w:r>
          </w:p>
        </w:tc>
        <w:tc>
          <w:tcPr>
            <w:tcW w:w="108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367"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81,152</w:t>
            </w:r>
          </w:p>
        </w:tc>
        <w:tc>
          <w:tcPr>
            <w:tcW w:w="150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w:t>
            </w:r>
          </w:p>
        </w:tc>
        <w:tc>
          <w:tcPr>
            <w:tcW w:w="15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31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Investment and procurement of fixed assets using development </w:t>
            </w:r>
            <w:r>
              <w:rPr>
                <w:rFonts w:ascii="Arial" w:hAnsi="Arial"/>
                <w:color w:val="010000"/>
                <w:sz w:val="20"/>
              </w:rPr>
              <w:lastRenderedPageBreak/>
              <w:t>investment capital</w:t>
            </w:r>
          </w:p>
        </w:tc>
        <w:tc>
          <w:tcPr>
            <w:tcW w:w="108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lastRenderedPageBreak/>
              <w:t>Million VND</w:t>
            </w:r>
          </w:p>
        </w:tc>
        <w:tc>
          <w:tcPr>
            <w:tcW w:w="1367"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164,512</w:t>
            </w:r>
          </w:p>
        </w:tc>
        <w:tc>
          <w:tcPr>
            <w:tcW w:w="150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112,825</w:t>
            </w:r>
          </w:p>
        </w:tc>
        <w:tc>
          <w:tcPr>
            <w:tcW w:w="15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68.58%</w:t>
            </w:r>
          </w:p>
        </w:tc>
      </w:tr>
      <w:tr w:rsidR="003B38F6">
        <w:tc>
          <w:tcPr>
            <w:tcW w:w="3553" w:type="dxa"/>
            <w:gridSpan w:val="2"/>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lastRenderedPageBreak/>
              <w:t>Total</w:t>
            </w:r>
          </w:p>
        </w:tc>
        <w:tc>
          <w:tcPr>
            <w:tcW w:w="108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367"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245,664</w:t>
            </w:r>
          </w:p>
        </w:tc>
        <w:tc>
          <w:tcPr>
            <w:tcW w:w="150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112,825</w:t>
            </w:r>
          </w:p>
        </w:tc>
        <w:tc>
          <w:tcPr>
            <w:tcW w:w="15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45.93%</w:t>
            </w:r>
          </w:p>
        </w:tc>
      </w:tr>
    </w:tbl>
    <w:p w:rsidR="003B38F6" w:rsidRDefault="006712F7">
      <w:pPr>
        <w:numPr>
          <w:ilvl w:val="0"/>
          <w:numId w:val="5"/>
        </w:num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Production and Business Plan - Development Investment - Finance 2024 </w:t>
      </w:r>
    </w:p>
    <w:p w:rsidR="003B38F6" w:rsidRDefault="006712F7">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Production and business plan in 2024</w:t>
      </w:r>
    </w:p>
    <w:p w:rsidR="003B38F6" w:rsidRDefault="006712F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 xml:space="preserve">Production and Business - Financial Targets 2024 </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3"/>
        <w:gridCol w:w="5712"/>
        <w:gridCol w:w="1260"/>
        <w:gridCol w:w="1282"/>
      </w:tblGrid>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Unit</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Value</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Electricity output</w:t>
            </w:r>
          </w:p>
        </w:tc>
        <w:tc>
          <w:tcPr>
            <w:tcW w:w="126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282"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Electricity production output (Million kWh)</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kWh</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3,045</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Commercial electricity output (Million kWh)</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kWh</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3,020</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revenue</w:t>
            </w:r>
          </w:p>
        </w:tc>
        <w:tc>
          <w:tcPr>
            <w:tcW w:w="126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1,898,540</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Revenue from electricity production and business activities (including interest on deposits)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1,855,387</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Revenue from financial activities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39,778</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Other revenue</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3,375</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III</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expenses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1,220,832</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Cost of electricity production activities (including items that increase/decrease electricity prices)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1,217,794</w:t>
            </w:r>
          </w:p>
        </w:tc>
      </w:tr>
      <w:tr w:rsidR="003B38F6" w:rsidTr="00CF722E">
        <w:tc>
          <w:tcPr>
            <w:tcW w:w="763"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In which: Profit (Loss) from exchange rate differences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(71,209)</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Financial expenses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Other expenses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3,038</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IV</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profit before tax</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677,708</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from electricity production and business activities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637,593</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from financial activities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39,778</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Other profits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337</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V</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after tax</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542,166</w:t>
            </w:r>
          </w:p>
        </w:tc>
      </w:tr>
      <w:tr w:rsidR="003B38F6" w:rsidTr="00CF722E">
        <w:tc>
          <w:tcPr>
            <w:tcW w:w="763"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VI</w:t>
            </w:r>
          </w:p>
        </w:tc>
        <w:tc>
          <w:tcPr>
            <w:tcW w:w="571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Dividends</w:t>
            </w:r>
          </w:p>
        </w:tc>
        <w:tc>
          <w:tcPr>
            <w:tcW w:w="12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w:t>
            </w:r>
          </w:p>
        </w:tc>
        <w:tc>
          <w:tcPr>
            <w:tcW w:w="128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w:t>
            </w:r>
          </w:p>
        </w:tc>
      </w:tr>
    </w:tbl>
    <w:p w:rsidR="003B38F6" w:rsidRDefault="006712F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Technical and economic targets:</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
        <w:gridCol w:w="4065"/>
        <w:gridCol w:w="1008"/>
        <w:gridCol w:w="3140"/>
      </w:tblGrid>
      <w:tr w:rsidR="003B38F6">
        <w:tc>
          <w:tcPr>
            <w:tcW w:w="804"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406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Target</w:t>
            </w:r>
          </w:p>
        </w:tc>
        <w:tc>
          <w:tcPr>
            <w:tcW w:w="10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Unit</w:t>
            </w:r>
          </w:p>
        </w:tc>
        <w:tc>
          <w:tcPr>
            <w:tcW w:w="31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Plan</w:t>
            </w:r>
          </w:p>
        </w:tc>
      </w:tr>
      <w:tr w:rsidR="003B38F6">
        <w:tc>
          <w:tcPr>
            <w:tcW w:w="804"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406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Self-consumption electricity rate</w:t>
            </w:r>
          </w:p>
        </w:tc>
        <w:tc>
          <w:tcPr>
            <w:tcW w:w="10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w:t>
            </w:r>
          </w:p>
        </w:tc>
        <w:tc>
          <w:tcPr>
            <w:tcW w:w="31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0.84</w:t>
            </w:r>
          </w:p>
        </w:tc>
      </w:tr>
      <w:tr w:rsidR="003B38F6">
        <w:tc>
          <w:tcPr>
            <w:tcW w:w="804"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406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Availability factor</w:t>
            </w:r>
          </w:p>
        </w:tc>
        <w:tc>
          <w:tcPr>
            <w:tcW w:w="10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w:t>
            </w:r>
          </w:p>
        </w:tc>
        <w:tc>
          <w:tcPr>
            <w:tcW w:w="31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95.55</w:t>
            </w:r>
          </w:p>
        </w:tc>
      </w:tr>
      <w:tr w:rsidR="003B38F6">
        <w:tc>
          <w:tcPr>
            <w:tcW w:w="804"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406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Forced outage rate</w:t>
            </w:r>
          </w:p>
        </w:tc>
        <w:tc>
          <w:tcPr>
            <w:tcW w:w="100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w:t>
            </w:r>
          </w:p>
        </w:tc>
        <w:tc>
          <w:tcPr>
            <w:tcW w:w="31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0.49% (Flood season: 0%)</w:t>
            </w:r>
          </w:p>
        </w:tc>
      </w:tr>
    </w:tbl>
    <w:p w:rsidR="003B38F6" w:rsidRDefault="006712F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 xml:space="preserve">Electricity market operation targets: Additional revenue from DHD's electricity market activities in 2024 is VND 64.83 billion (Da </w:t>
      </w:r>
      <w:proofErr w:type="spellStart"/>
      <w:r>
        <w:rPr>
          <w:rFonts w:ascii="Arial" w:hAnsi="Arial"/>
          <w:color w:val="010000"/>
          <w:sz w:val="20"/>
        </w:rPr>
        <w:t>Nhim</w:t>
      </w:r>
      <w:proofErr w:type="spellEnd"/>
      <w:r>
        <w:rPr>
          <w:rFonts w:ascii="Arial" w:hAnsi="Arial"/>
          <w:color w:val="010000"/>
          <w:sz w:val="20"/>
        </w:rPr>
        <w:t xml:space="preserve">: VND 28.29 billion; Ham </w:t>
      </w:r>
      <w:proofErr w:type="spellStart"/>
      <w:r>
        <w:rPr>
          <w:rFonts w:ascii="Arial" w:hAnsi="Arial"/>
          <w:color w:val="010000"/>
          <w:sz w:val="20"/>
        </w:rPr>
        <w:t>Thuan</w:t>
      </w:r>
      <w:proofErr w:type="spellEnd"/>
      <w:r>
        <w:rPr>
          <w:rFonts w:ascii="Arial" w:hAnsi="Arial"/>
          <w:color w:val="010000"/>
          <w:sz w:val="20"/>
        </w:rPr>
        <w:t xml:space="preserve">: VND 23.17 billion; Da </w:t>
      </w:r>
      <w:proofErr w:type="spellStart"/>
      <w:r>
        <w:rPr>
          <w:rFonts w:ascii="Arial" w:hAnsi="Arial"/>
          <w:color w:val="010000"/>
          <w:sz w:val="20"/>
        </w:rPr>
        <w:t>Mi</w:t>
      </w:r>
      <w:proofErr w:type="spellEnd"/>
      <w:r>
        <w:rPr>
          <w:rFonts w:ascii="Arial" w:hAnsi="Arial"/>
          <w:color w:val="010000"/>
          <w:sz w:val="20"/>
        </w:rPr>
        <w:t xml:space="preserve">: VND 13.37 billion).   </w:t>
      </w:r>
    </w:p>
    <w:p w:rsidR="003B38F6" w:rsidRDefault="006712F7">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 xml:space="preserve">Construction Investment - Development Investment Plan 2024 </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
        <w:gridCol w:w="4840"/>
        <w:gridCol w:w="1509"/>
        <w:gridCol w:w="1870"/>
      </w:tblGrid>
      <w:tr w:rsidR="003B38F6">
        <w:tc>
          <w:tcPr>
            <w:tcW w:w="79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48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Unit</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Value</w:t>
            </w:r>
          </w:p>
        </w:tc>
      </w:tr>
      <w:tr w:rsidR="003B38F6">
        <w:tc>
          <w:tcPr>
            <w:tcW w:w="79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48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Construction investment plan</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123,180</w:t>
            </w:r>
          </w:p>
        </w:tc>
      </w:tr>
      <w:tr w:rsidR="003B38F6">
        <w:tc>
          <w:tcPr>
            <w:tcW w:w="79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lastRenderedPageBreak/>
              <w:t>a</w:t>
            </w:r>
          </w:p>
        </w:tc>
        <w:tc>
          <w:tcPr>
            <w:tcW w:w="48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Da </w:t>
            </w:r>
            <w:proofErr w:type="spellStart"/>
            <w:r>
              <w:rPr>
                <w:rFonts w:ascii="Arial" w:hAnsi="Arial"/>
                <w:color w:val="010000"/>
                <w:sz w:val="20"/>
              </w:rPr>
              <w:t>Nhim</w:t>
            </w:r>
            <w:proofErr w:type="spellEnd"/>
            <w:r>
              <w:rPr>
                <w:rFonts w:ascii="Arial" w:hAnsi="Arial"/>
                <w:color w:val="010000"/>
                <w:sz w:val="20"/>
              </w:rPr>
              <w:t xml:space="preserve"> Hydropower Plant expansion project</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56,788</w:t>
            </w:r>
          </w:p>
        </w:tc>
      </w:tr>
      <w:tr w:rsidR="003B38F6">
        <w:tc>
          <w:tcPr>
            <w:tcW w:w="798"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4840" w:type="dxa"/>
            <w:shd w:val="clear" w:color="auto" w:fill="auto"/>
            <w:tcMar>
              <w:top w:w="0" w:type="dxa"/>
              <w:bottom w:w="0" w:type="dxa"/>
            </w:tcMar>
            <w:vAlign w:val="center"/>
          </w:tcPr>
          <w:p w:rsidR="003B38F6" w:rsidRDefault="006712F7" w:rsidP="00852B0F">
            <w:pPr>
              <w:numPr>
                <w:ilvl w:val="0"/>
                <w:numId w:val="3"/>
              </w:numPr>
              <w:pBdr>
                <w:top w:val="nil"/>
                <w:left w:val="nil"/>
                <w:bottom w:val="nil"/>
                <w:right w:val="nil"/>
                <w:between w:val="nil"/>
              </w:pBdr>
              <w:tabs>
                <w:tab w:val="left" w:pos="322"/>
              </w:tabs>
              <w:spacing w:line="360" w:lineRule="auto"/>
              <w:ind w:left="0" w:firstLine="0"/>
              <w:rPr>
                <w:rFonts w:ascii="Arial" w:eastAsia="Arial" w:hAnsi="Arial" w:cs="Arial"/>
                <w:color w:val="010000"/>
                <w:sz w:val="20"/>
                <w:szCs w:val="20"/>
              </w:rPr>
            </w:pPr>
            <w:r>
              <w:rPr>
                <w:rFonts w:ascii="Arial" w:hAnsi="Arial"/>
                <w:color w:val="010000"/>
                <w:sz w:val="20"/>
              </w:rPr>
              <w:t>Net investment</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1,702</w:t>
            </w:r>
          </w:p>
        </w:tc>
      </w:tr>
      <w:tr w:rsidR="003B38F6">
        <w:tc>
          <w:tcPr>
            <w:tcW w:w="798"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4840" w:type="dxa"/>
            <w:shd w:val="clear" w:color="auto" w:fill="auto"/>
            <w:tcMar>
              <w:top w:w="0" w:type="dxa"/>
              <w:bottom w:w="0" w:type="dxa"/>
            </w:tcMar>
            <w:vAlign w:val="center"/>
          </w:tcPr>
          <w:p w:rsidR="003B38F6" w:rsidRDefault="006712F7" w:rsidP="00852B0F">
            <w:pPr>
              <w:numPr>
                <w:ilvl w:val="0"/>
                <w:numId w:val="3"/>
              </w:numPr>
              <w:pBdr>
                <w:top w:val="nil"/>
                <w:left w:val="nil"/>
                <w:bottom w:val="nil"/>
                <w:right w:val="nil"/>
                <w:between w:val="nil"/>
              </w:pBdr>
              <w:tabs>
                <w:tab w:val="left" w:pos="322"/>
              </w:tabs>
              <w:spacing w:line="360" w:lineRule="auto"/>
              <w:ind w:left="0" w:firstLine="0"/>
              <w:rPr>
                <w:rFonts w:ascii="Arial" w:eastAsia="Arial" w:hAnsi="Arial" w:cs="Arial"/>
                <w:color w:val="010000"/>
                <w:sz w:val="20"/>
                <w:szCs w:val="20"/>
              </w:rPr>
            </w:pPr>
            <w:r>
              <w:rPr>
                <w:rFonts w:ascii="Arial" w:hAnsi="Arial"/>
                <w:color w:val="010000"/>
                <w:sz w:val="20"/>
              </w:rPr>
              <w:t>Principal repayment</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55,086</w:t>
            </w:r>
          </w:p>
        </w:tc>
      </w:tr>
      <w:tr w:rsidR="003B38F6">
        <w:tc>
          <w:tcPr>
            <w:tcW w:w="79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b</w:t>
            </w:r>
          </w:p>
        </w:tc>
        <w:tc>
          <w:tcPr>
            <w:tcW w:w="48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Da </w:t>
            </w:r>
            <w:proofErr w:type="spellStart"/>
            <w:r>
              <w:rPr>
                <w:rFonts w:ascii="Arial" w:hAnsi="Arial"/>
                <w:color w:val="010000"/>
                <w:sz w:val="20"/>
              </w:rPr>
              <w:t>Mi</w:t>
            </w:r>
            <w:proofErr w:type="spellEnd"/>
            <w:r>
              <w:rPr>
                <w:rFonts w:ascii="Arial" w:hAnsi="Arial"/>
                <w:color w:val="010000"/>
                <w:sz w:val="20"/>
              </w:rPr>
              <w:t xml:space="preserve"> Solar Power Plant Project</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66,392</w:t>
            </w:r>
          </w:p>
        </w:tc>
      </w:tr>
      <w:tr w:rsidR="003B38F6">
        <w:tc>
          <w:tcPr>
            <w:tcW w:w="798"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48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Principal repayment</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66,392</w:t>
            </w:r>
          </w:p>
        </w:tc>
      </w:tr>
      <w:tr w:rsidR="003B38F6">
        <w:tc>
          <w:tcPr>
            <w:tcW w:w="798"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48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Investment and procurement of fixed assets using development investment capital</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36,695</w:t>
            </w:r>
          </w:p>
        </w:tc>
      </w:tr>
      <w:tr w:rsidR="003B38F6">
        <w:tc>
          <w:tcPr>
            <w:tcW w:w="5638" w:type="dxa"/>
            <w:gridSpan w:val="2"/>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w:t>
            </w:r>
          </w:p>
        </w:tc>
        <w:tc>
          <w:tcPr>
            <w:tcW w:w="1509"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Million VND</w:t>
            </w:r>
          </w:p>
        </w:tc>
        <w:tc>
          <w:tcPr>
            <w:tcW w:w="187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159,875</w:t>
            </w:r>
          </w:p>
        </w:tc>
      </w:tr>
    </w:tbl>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2. Approve the Report on the company's governance situation in 2023 and the Board of Directors' operation plan for 2024. Assign the Company's Board of Directors to organize the implementation and decide on issues and contents arising outside the </w:t>
      </w:r>
      <w:r>
        <w:rPr>
          <w:rFonts w:ascii="Arial" w:hAnsi="Arial"/>
          <w:color w:val="010000"/>
          <w:sz w:val="20"/>
        </w:rPr>
        <w:t>production and business plan approved by the Annual General Meeting of Shareholders 2024 or urgent issues and contents that need to be implemented before the Annual General Meeting of Shareholders approves the production and business plan 2025 and must rep</w:t>
      </w:r>
      <w:r>
        <w:rPr>
          <w:rFonts w:ascii="Arial" w:hAnsi="Arial"/>
          <w:color w:val="010000"/>
          <w:sz w:val="20"/>
        </w:rPr>
        <w:t>ort to the General Meeting of Shareholders at the nearest meeting, except for cases that must be voted and approved by the General Meeting of Shareholders at the meeting.</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3. Approve the Operation Report 2023 of the Supervisory Board.</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4.</w:t>
      </w:r>
      <w:r>
        <w:rPr>
          <w:rFonts w:ascii="Arial" w:hAnsi="Arial"/>
          <w:color w:val="010000"/>
          <w:sz w:val="20"/>
        </w:rPr>
        <w:t xml:space="preserve"> Approve the list of audit companies for the Financial Statements 2024 as ERNST &amp; YOUNG Limited Company; authorize the Board of Directors to carry out procedures to sign a contract to audit the Financial Statements 2024 with ERNST &amp; YOUNG Limited Company.</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5. Approve the Company’s Financial Statements 2023 audited by Deloitte Vietnam Company Limited.</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6. Approve the Profit Distribution Plan 2023, with details as follows:</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Unit VND</w:t>
      </w:r>
    </w:p>
    <w:tbl>
      <w:tblPr>
        <w:tblStyle w:val="a4"/>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6750"/>
        <w:gridCol w:w="1822"/>
      </w:tblGrid>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Amount</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UNDISTRIBUTED PROFIT AFTER TAX</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1,280,642,728,511</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after tax in 2023</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1,109,931,425,058</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In which: Unrealized foreign exchange gains</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24,661,703,217</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Retained earnings from previous years</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151,711,303,453</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In which: Unrealized foreign exchange gains</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151,711,303,453</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Reversal of development investment fund from previous years</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19,000,000,000</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Profit distribution</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1,280,642,728,511</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Appropriation for funds</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52,686,305,125</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Bonus fund for the Executive Management Board</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744,725,125</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Bonus and welfare fund</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25,970,790,000</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 xml:space="preserve">Additional bonus and welfare fund extracted according to points a, b, clause 1, Article 18 of Circular No. 28/2016/TT-BLDTBXH dated September 1, </w:t>
            </w:r>
            <w:r>
              <w:rPr>
                <w:rFonts w:ascii="Arial" w:hAnsi="Arial"/>
                <w:color w:val="010000"/>
                <w:sz w:val="20"/>
              </w:rPr>
              <w:lastRenderedPageBreak/>
              <w:t>2016 of the Ministry of Labor, Invalids and Social Affairs guiding the implementation of regul</w:t>
            </w:r>
            <w:r>
              <w:rPr>
                <w:rFonts w:ascii="Arial" w:hAnsi="Arial"/>
                <w:color w:val="010000"/>
                <w:sz w:val="20"/>
              </w:rPr>
              <w:t>ations on labor, salary, remuneration, and bonuses for joint stock companies with state-controlled capital</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lastRenderedPageBreak/>
              <w:t>25,970,790,000</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lastRenderedPageBreak/>
              <w:t>2</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Dividend payment in cash:</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1,203,840,000,000</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Dividend payment rate</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28.5%</w:t>
            </w:r>
          </w:p>
        </w:tc>
      </w:tr>
      <w:tr w:rsidR="003B38F6" w:rsidTr="00852B0F">
        <w:tc>
          <w:tcPr>
            <w:tcW w:w="445"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Dividend</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1,203,840,000,000</w:t>
            </w:r>
          </w:p>
        </w:tc>
      </w:tr>
      <w:tr w:rsidR="003B38F6" w:rsidTr="00852B0F">
        <w:tc>
          <w:tcPr>
            <w:tcW w:w="44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III</w:t>
            </w:r>
          </w:p>
        </w:tc>
        <w:tc>
          <w:tcPr>
            <w:tcW w:w="675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REMAINING PROFIT AFTER DISTRIBUTION (II-I)</w:t>
            </w:r>
          </w:p>
        </w:tc>
        <w:tc>
          <w:tcPr>
            <w:tcW w:w="182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24,116,423,386</w:t>
            </w:r>
          </w:p>
        </w:tc>
      </w:tr>
    </w:tbl>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7. Approve the actual salary and remuneration in 2023, the salary and remuneration plan for 2024 of the Board of Directors and the Supervisory Board, with details as follows:</w:t>
      </w:r>
    </w:p>
    <w:p w:rsidR="003B38F6" w:rsidRDefault="006712F7">
      <w:pPr>
        <w:numPr>
          <w:ilvl w:val="0"/>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Actual salary and remuneration in 2023</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sectPr w:rsidR="003B38F6">
          <w:pgSz w:w="11907" w:h="16839"/>
          <w:pgMar w:top="1440" w:right="1440" w:bottom="1440" w:left="1440" w:header="0" w:footer="3" w:gutter="0"/>
          <w:pgNumType w:start="1"/>
          <w:cols w:space="720"/>
        </w:sectPr>
      </w:pPr>
      <w:r>
        <w:rPr>
          <w:rFonts w:ascii="Arial" w:hAnsi="Arial"/>
          <w:color w:val="010000"/>
          <w:sz w:val="20"/>
        </w:rPr>
        <w:t>Unit VND</w:t>
      </w:r>
    </w:p>
    <w:p w:rsidR="003B38F6" w:rsidRDefault="003B38F6">
      <w:pPr>
        <w:pBdr>
          <w:top w:val="nil"/>
          <w:left w:val="nil"/>
          <w:bottom w:val="nil"/>
          <w:right w:val="nil"/>
          <w:between w:val="nil"/>
        </w:pBdr>
        <w:spacing w:line="276" w:lineRule="auto"/>
        <w:rPr>
          <w:rFonts w:ascii="Arial" w:eastAsia="Arial" w:hAnsi="Arial" w:cs="Arial"/>
          <w:color w:val="010000"/>
          <w:sz w:val="20"/>
          <w:szCs w:val="20"/>
        </w:rPr>
      </w:pPr>
    </w:p>
    <w:tbl>
      <w:tblPr>
        <w:tblStyle w:val="a5"/>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
        <w:gridCol w:w="3960"/>
        <w:gridCol w:w="1710"/>
        <w:gridCol w:w="1440"/>
        <w:gridCol w:w="1552"/>
      </w:tblGrid>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71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Number of people</w:t>
            </w: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Plan</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Results</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THE BOARD OF DIRECTORS</w:t>
            </w:r>
          </w:p>
        </w:tc>
        <w:tc>
          <w:tcPr>
            <w:tcW w:w="171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1,048,980,576</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1,149,012,000</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Salary of the Chair of the Board of Directors</w:t>
            </w:r>
          </w:p>
        </w:tc>
        <w:tc>
          <w:tcPr>
            <w:tcW w:w="171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1,048,980,576</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1,149,012,000</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The Supervisory Board:</w:t>
            </w:r>
          </w:p>
        </w:tc>
        <w:tc>
          <w:tcPr>
            <w:tcW w:w="171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1,150,676,928</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1,266,619,000</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Salary of executive members of the Supervisory Board</w:t>
            </w:r>
          </w:p>
        </w:tc>
        <w:tc>
          <w:tcPr>
            <w:tcW w:w="171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816,838,560</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899,143,000</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Remuneration of the non-executive Chief of the Supervisory Board</w:t>
            </w:r>
          </w:p>
        </w:tc>
        <w:tc>
          <w:tcPr>
            <w:tcW w:w="171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170,470,656</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187,647,000</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Remuneration of non-executive members of the Supervisory Board</w:t>
            </w:r>
            <w:bookmarkStart w:id="1" w:name="_GoBack"/>
            <w:bookmarkEnd w:id="1"/>
          </w:p>
        </w:tc>
        <w:tc>
          <w:tcPr>
            <w:tcW w:w="171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163,367,712</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179,829,000</w:t>
            </w:r>
          </w:p>
        </w:tc>
      </w:tr>
      <w:tr w:rsidR="003B38F6" w:rsidTr="006712F7">
        <w:tc>
          <w:tcPr>
            <w:tcW w:w="355"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III</w:t>
            </w:r>
          </w:p>
        </w:tc>
        <w:tc>
          <w:tcPr>
            <w:tcW w:w="396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(I+II)</w:t>
            </w:r>
          </w:p>
        </w:tc>
        <w:tc>
          <w:tcPr>
            <w:tcW w:w="1710" w:type="dxa"/>
            <w:shd w:val="clear" w:color="auto" w:fill="auto"/>
            <w:tcMar>
              <w:top w:w="0" w:type="dxa"/>
              <w:bottom w:w="0" w:type="dxa"/>
            </w:tcMar>
            <w:vAlign w:val="center"/>
          </w:tcPr>
          <w:p w:rsidR="003B38F6" w:rsidRDefault="003B38F6" w:rsidP="00852B0F">
            <w:pPr>
              <w:spacing w:line="360" w:lineRule="auto"/>
              <w:rPr>
                <w:rFonts w:ascii="Arial" w:eastAsia="Arial" w:hAnsi="Arial" w:cs="Arial"/>
                <w:color w:val="010000"/>
                <w:sz w:val="20"/>
                <w:szCs w:val="20"/>
              </w:rPr>
            </w:pPr>
          </w:p>
        </w:tc>
        <w:tc>
          <w:tcPr>
            <w:tcW w:w="1440"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2,199,657,504</w:t>
            </w:r>
          </w:p>
        </w:tc>
        <w:tc>
          <w:tcPr>
            <w:tcW w:w="1552" w:type="dxa"/>
            <w:shd w:val="clear" w:color="auto" w:fill="auto"/>
            <w:tcMar>
              <w:top w:w="0" w:type="dxa"/>
              <w:bottom w:w="0" w:type="dxa"/>
            </w:tcMar>
            <w:vAlign w:val="center"/>
          </w:tcPr>
          <w:p w:rsidR="003B38F6" w:rsidRDefault="006712F7" w:rsidP="00852B0F">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2,415,631,000</w:t>
            </w:r>
          </w:p>
        </w:tc>
      </w:tr>
    </w:tbl>
    <w:p w:rsidR="003B38F6" w:rsidRDefault="006712F7">
      <w:pPr>
        <w:numPr>
          <w:ilvl w:val="0"/>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Salary and remuneration plan for 2024</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Unit VND</w:t>
      </w:r>
    </w:p>
    <w:tbl>
      <w:tblPr>
        <w:tblStyle w:val="a6"/>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5490"/>
        <w:gridCol w:w="1710"/>
        <w:gridCol w:w="1372"/>
      </w:tblGrid>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No.</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Content</w:t>
            </w:r>
          </w:p>
        </w:tc>
        <w:tc>
          <w:tcPr>
            <w:tcW w:w="171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Number of people</w:t>
            </w: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Plan</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The Board of Directors</w:t>
            </w:r>
          </w:p>
        </w:tc>
        <w:tc>
          <w:tcPr>
            <w:tcW w:w="1710" w:type="dxa"/>
            <w:shd w:val="clear" w:color="auto" w:fill="auto"/>
            <w:tcMar>
              <w:top w:w="0" w:type="dxa"/>
              <w:bottom w:w="0" w:type="dxa"/>
            </w:tcMar>
            <w:vAlign w:val="center"/>
          </w:tcPr>
          <w:p w:rsidR="003B38F6" w:rsidRDefault="003B38F6" w:rsidP="006712F7">
            <w:pPr>
              <w:spacing w:line="360" w:lineRule="auto"/>
              <w:rPr>
                <w:rFonts w:ascii="Arial" w:eastAsia="Arial" w:hAnsi="Arial" w:cs="Arial"/>
                <w:color w:val="010000"/>
                <w:sz w:val="20"/>
                <w:szCs w:val="20"/>
              </w:rPr>
            </w:pP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984,812,700</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Salary of the Chair of the Board of Directors</w:t>
            </w:r>
          </w:p>
        </w:tc>
        <w:tc>
          <w:tcPr>
            <w:tcW w:w="171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984,812,700</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The Supervisory Board:</w:t>
            </w:r>
          </w:p>
        </w:tc>
        <w:tc>
          <w:tcPr>
            <w:tcW w:w="1710" w:type="dxa"/>
            <w:shd w:val="clear" w:color="auto" w:fill="auto"/>
            <w:tcMar>
              <w:top w:w="0" w:type="dxa"/>
              <w:bottom w:w="0" w:type="dxa"/>
            </w:tcMar>
            <w:vAlign w:val="center"/>
          </w:tcPr>
          <w:p w:rsidR="003B38F6" w:rsidRDefault="003B38F6" w:rsidP="006712F7">
            <w:pPr>
              <w:spacing w:line="360" w:lineRule="auto"/>
              <w:rPr>
                <w:rFonts w:ascii="Arial" w:eastAsia="Arial" w:hAnsi="Arial" w:cs="Arial"/>
                <w:color w:val="010000"/>
                <w:sz w:val="20"/>
                <w:szCs w:val="20"/>
              </w:rPr>
            </w:pP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1,076,518,600</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Salary of executive members of the Supervisory Board</w:t>
            </w:r>
          </w:p>
        </w:tc>
        <w:tc>
          <w:tcPr>
            <w:tcW w:w="171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764,195,600</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Remuneration of the non-executive Chief of the Supervisory Board</w:t>
            </w:r>
          </w:p>
        </w:tc>
        <w:tc>
          <w:tcPr>
            <w:tcW w:w="171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159,484,000</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3</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Remuneration of non-executive members of the Supervisory Board</w:t>
            </w:r>
          </w:p>
        </w:tc>
        <w:tc>
          <w:tcPr>
            <w:tcW w:w="171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01</w:t>
            </w: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152,839,000</w:t>
            </w:r>
          </w:p>
        </w:tc>
      </w:tr>
      <w:tr w:rsidR="003B38F6" w:rsidTr="006712F7">
        <w:tc>
          <w:tcPr>
            <w:tcW w:w="445"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III</w:t>
            </w:r>
          </w:p>
        </w:tc>
        <w:tc>
          <w:tcPr>
            <w:tcW w:w="5490"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Total (I+II)</w:t>
            </w:r>
          </w:p>
        </w:tc>
        <w:tc>
          <w:tcPr>
            <w:tcW w:w="1710" w:type="dxa"/>
            <w:shd w:val="clear" w:color="auto" w:fill="auto"/>
            <w:tcMar>
              <w:top w:w="0" w:type="dxa"/>
              <w:bottom w:w="0" w:type="dxa"/>
            </w:tcMar>
            <w:vAlign w:val="center"/>
          </w:tcPr>
          <w:p w:rsidR="003B38F6" w:rsidRDefault="003B38F6" w:rsidP="006712F7">
            <w:pPr>
              <w:spacing w:line="360" w:lineRule="auto"/>
              <w:rPr>
                <w:rFonts w:ascii="Arial" w:eastAsia="Arial" w:hAnsi="Arial" w:cs="Arial"/>
                <w:color w:val="010000"/>
                <w:sz w:val="20"/>
                <w:szCs w:val="20"/>
              </w:rPr>
            </w:pPr>
          </w:p>
        </w:tc>
        <w:tc>
          <w:tcPr>
            <w:tcW w:w="1372" w:type="dxa"/>
            <w:shd w:val="clear" w:color="auto" w:fill="auto"/>
            <w:tcMar>
              <w:top w:w="0" w:type="dxa"/>
              <w:bottom w:w="0" w:type="dxa"/>
            </w:tcMar>
            <w:vAlign w:val="center"/>
          </w:tcPr>
          <w:p w:rsidR="003B38F6" w:rsidRDefault="006712F7" w:rsidP="006712F7">
            <w:pPr>
              <w:pBdr>
                <w:top w:val="nil"/>
                <w:left w:val="nil"/>
                <w:bottom w:val="nil"/>
                <w:right w:val="nil"/>
                <w:between w:val="nil"/>
              </w:pBdr>
              <w:spacing w:line="360" w:lineRule="auto"/>
              <w:rPr>
                <w:rFonts w:ascii="Arial" w:eastAsia="Arial" w:hAnsi="Arial" w:cs="Arial"/>
                <w:color w:val="010000"/>
                <w:sz w:val="20"/>
                <w:szCs w:val="20"/>
              </w:rPr>
            </w:pPr>
            <w:r>
              <w:rPr>
                <w:rFonts w:ascii="Arial" w:hAnsi="Arial"/>
                <w:color w:val="010000"/>
                <w:sz w:val="20"/>
              </w:rPr>
              <w:t>2,061,331,300</w:t>
            </w:r>
          </w:p>
        </w:tc>
      </w:tr>
    </w:tbl>
    <w:p w:rsidR="003B38F6" w:rsidRDefault="006712F7">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Authorize the Board of Directors to approve the final settlement of salary and remuneration of the Board of Directors and the Supervisory Board in 2024 before March 31, 2025 and report to the General Meeting of Shareholders at the nearest meeting.</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w:t>
      </w:r>
      <w:r>
        <w:rPr>
          <w:rFonts w:ascii="Arial" w:hAnsi="Arial"/>
          <w:color w:val="010000"/>
          <w:sz w:val="20"/>
        </w:rPr>
        <w:t>e 8. Approve the amendments to the Company's Charter and the following regulations:</w:t>
      </w:r>
    </w:p>
    <w:p w:rsidR="003B38F6" w:rsidRDefault="006712F7">
      <w:pPr>
        <w:numPr>
          <w:ilvl w:val="0"/>
          <w:numId w:val="6"/>
        </w:numPr>
        <w:pBdr>
          <w:top w:val="nil"/>
          <w:left w:val="nil"/>
          <w:bottom w:val="nil"/>
          <w:right w:val="nil"/>
          <w:between w:val="nil"/>
        </w:pBdr>
        <w:tabs>
          <w:tab w:val="left" w:pos="1049"/>
        </w:tabs>
        <w:spacing w:after="120" w:line="360" w:lineRule="auto"/>
        <w:rPr>
          <w:rFonts w:ascii="Arial" w:eastAsia="Arial" w:hAnsi="Arial" w:cs="Arial"/>
          <w:color w:val="010000"/>
          <w:sz w:val="20"/>
          <w:szCs w:val="20"/>
        </w:rPr>
      </w:pPr>
      <w:r>
        <w:rPr>
          <w:rFonts w:ascii="Arial" w:hAnsi="Arial"/>
          <w:color w:val="010000"/>
          <w:sz w:val="20"/>
        </w:rPr>
        <w:t>Internal regulations on corporate governance.</w:t>
      </w:r>
    </w:p>
    <w:p w:rsidR="003B38F6" w:rsidRDefault="006712F7">
      <w:pPr>
        <w:numPr>
          <w:ilvl w:val="0"/>
          <w:numId w:val="6"/>
        </w:numPr>
        <w:pBdr>
          <w:top w:val="nil"/>
          <w:left w:val="nil"/>
          <w:bottom w:val="nil"/>
          <w:right w:val="nil"/>
          <w:between w:val="nil"/>
        </w:pBdr>
        <w:tabs>
          <w:tab w:val="left" w:pos="1078"/>
        </w:tabs>
        <w:spacing w:after="120" w:line="360" w:lineRule="auto"/>
        <w:rPr>
          <w:rFonts w:ascii="Arial" w:eastAsia="Arial" w:hAnsi="Arial" w:cs="Arial"/>
          <w:color w:val="010000"/>
          <w:sz w:val="20"/>
          <w:szCs w:val="20"/>
        </w:rPr>
      </w:pPr>
      <w:r>
        <w:rPr>
          <w:rFonts w:ascii="Arial" w:hAnsi="Arial"/>
          <w:color w:val="010000"/>
          <w:sz w:val="20"/>
        </w:rPr>
        <w:t>The Working Regulation of the Board of Directors</w:t>
      </w:r>
    </w:p>
    <w:p w:rsidR="003B38F6" w:rsidRDefault="006712F7">
      <w:pPr>
        <w:numPr>
          <w:ilvl w:val="0"/>
          <w:numId w:val="6"/>
        </w:numPr>
        <w:pBdr>
          <w:top w:val="nil"/>
          <w:left w:val="nil"/>
          <w:bottom w:val="nil"/>
          <w:right w:val="nil"/>
          <w:between w:val="nil"/>
        </w:pBdr>
        <w:tabs>
          <w:tab w:val="left" w:pos="1078"/>
        </w:tabs>
        <w:spacing w:after="120" w:line="360" w:lineRule="auto"/>
        <w:rPr>
          <w:rFonts w:ascii="Arial" w:eastAsia="Arial" w:hAnsi="Arial" w:cs="Arial"/>
          <w:color w:val="010000"/>
          <w:sz w:val="20"/>
          <w:szCs w:val="20"/>
        </w:rPr>
      </w:pPr>
      <w:r>
        <w:rPr>
          <w:rFonts w:ascii="Arial" w:hAnsi="Arial"/>
          <w:color w:val="010000"/>
          <w:sz w:val="20"/>
        </w:rPr>
        <w:t>The Working Regulations of the Supervisory Board</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Detailed figures are in the attached Appendix.</w:t>
      </w:r>
    </w:p>
    <w:p w:rsidR="003B38F6" w:rsidRDefault="006712F7">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9. This General Mandate takes effect from the date of signing. The Board of Directors, the Supervisory Board, and the Board of Management of the Company are responsible for organizing and implementin</w:t>
      </w:r>
      <w:r>
        <w:rPr>
          <w:rFonts w:ascii="Arial" w:hAnsi="Arial"/>
          <w:color w:val="010000"/>
          <w:sz w:val="20"/>
        </w:rPr>
        <w:t>g the General Mandate in accordance with their functions and duties, in compliance with the provisions of the law and the Company's Charter.</w:t>
      </w:r>
    </w:p>
    <w:sectPr w:rsidR="003B38F6">
      <w:pgSz w:w="11907" w:h="16839"/>
      <w:pgMar w:top="1440" w:right="1440" w:bottom="1440" w:left="144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C77"/>
    <w:multiLevelType w:val="multilevel"/>
    <w:tmpl w:val="C2641560"/>
    <w:lvl w:ilvl="0">
      <w:start w:val="1"/>
      <w:numFmt w:val="lowerLetter"/>
      <w:lvlText w:val="%1)"/>
      <w:lvlJc w:val="left"/>
      <w:pPr>
        <w:ind w:left="1080" w:hanging="360"/>
      </w:pPr>
      <w:rPr>
        <w:b w:val="0"/>
        <w:i w:val="0"/>
        <w:sz w:val="20"/>
        <w:szCs w:val="20"/>
      </w:rPr>
    </w:lvl>
    <w:lvl w:ilvl="1">
      <w:start w:val="1"/>
      <w:numFmt w:val="lowerLetter"/>
      <w:lvlText w:val="%2."/>
      <w:lvlJc w:val="left"/>
      <w:pPr>
        <w:ind w:left="1800" w:hanging="360"/>
      </w:pPr>
      <w:rPr>
        <w:b w:val="0"/>
        <w:i w:val="0"/>
        <w:sz w:val="20"/>
        <w:szCs w:val="20"/>
      </w:rPr>
    </w:lvl>
    <w:lvl w:ilvl="2">
      <w:start w:val="1"/>
      <w:numFmt w:val="lowerRoman"/>
      <w:lvlText w:val="%3."/>
      <w:lvlJc w:val="right"/>
      <w:pPr>
        <w:ind w:left="2520" w:hanging="180"/>
      </w:pPr>
      <w:rPr>
        <w:b w:val="0"/>
        <w:i w:val="0"/>
        <w:sz w:val="20"/>
        <w:szCs w:val="2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0C4AA4"/>
    <w:multiLevelType w:val="multilevel"/>
    <w:tmpl w:val="67162FD4"/>
    <w:lvl w:ilvl="0">
      <w:start w:val="1"/>
      <w:numFmt w:val="lowerLetter"/>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004F8"/>
    <w:multiLevelType w:val="multilevel"/>
    <w:tmpl w:val="794253F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1E55AE2"/>
    <w:multiLevelType w:val="multilevel"/>
    <w:tmpl w:val="D882A8D6"/>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3D5DC3"/>
    <w:multiLevelType w:val="multilevel"/>
    <w:tmpl w:val="8C02C8AE"/>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AA6729"/>
    <w:multiLevelType w:val="multilevel"/>
    <w:tmpl w:val="DF6822F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F6"/>
    <w:rsid w:val="003B38F6"/>
    <w:rsid w:val="006712F7"/>
    <w:rsid w:val="00852B0F"/>
    <w:rsid w:val="00CF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CE61"/>
  <w15:docId w15:val="{7A177AE4-678D-4DB1-B773-A7E3AE92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19"/>
      <w:szCs w:val="19"/>
      <w:u w:val="none"/>
      <w:shd w:val="clear" w:color="auto" w:fill="auto"/>
    </w:rPr>
  </w:style>
  <w:style w:type="paragraph" w:customStyle="1" w:styleId="Vnbnnidung0">
    <w:name w:val="Văn bản nội dung"/>
    <w:basedOn w:val="Normal"/>
    <w:link w:val="Vnbnnidung"/>
    <w:pPr>
      <w:spacing w:line="288"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customStyle="1" w:styleId="Khc0">
    <w:name w:val="Khác"/>
    <w:basedOn w:val="Normal"/>
    <w:link w:val="Khc"/>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left="2420"/>
    </w:pPr>
    <w:rPr>
      <w:rFonts w:ascii="Times New Roman" w:eastAsia="Times New Roman" w:hAnsi="Times New Roman" w:cs="Times New Roman"/>
      <w:b/>
      <w:bCs/>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jjPLKa8+SQSv/LK2ii9TrWT64A==">CgMxLjAyCGguZ2pkZ3hzOAByITFDblR4NEs3OVdQSUxTczJBNmFJM3BEWUw3eUIwV1Bkag==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4</cp:revision>
  <dcterms:created xsi:type="dcterms:W3CDTF">2024-05-04T05:00:00Z</dcterms:created>
  <dcterms:modified xsi:type="dcterms:W3CDTF">2024-05-06T08:08:00Z</dcterms:modified>
</cp:coreProperties>
</file>