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DRI: Annual General Mandate 2024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25, 2024,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Rubber Investment Joint Stock Company announced General Mandate No. 01/NQ-DHDCD as follows: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followings contents:</w:t>
      </w:r>
    </w:p>
    <w:p w:rsidR="002C0A15" w:rsidRDefault="00252E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activities of the Board of Directors in 2023 and the plan for 2024;</w:t>
      </w:r>
    </w:p>
    <w:p w:rsidR="002C0A15" w:rsidRDefault="00252E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Report on production and business results in 2023 and tasks for 2024 of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Rubber Investment Joint Stock Company;</w:t>
      </w:r>
    </w:p>
    <w:p w:rsidR="002C0A15" w:rsidRPr="0075362B" w:rsidRDefault="00252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  <w:highlight w:val="yellow"/>
        </w:rPr>
      </w:pPr>
      <w:r w:rsidRPr="0075362B">
        <w:rPr>
          <w:rFonts w:ascii="Arial" w:hAnsi="Arial"/>
          <w:color w:val="010000"/>
          <w:sz w:val="20"/>
          <w:highlight w:val="yellow"/>
        </w:rPr>
        <w:t>Results of implementing the financial targets assigned by the General Meeting of Shareholders in 2023 are as follows:</w:t>
      </w:r>
    </w:p>
    <w:tbl>
      <w:tblPr>
        <w:tblStyle w:val="a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070"/>
        <w:gridCol w:w="2340"/>
        <w:gridCol w:w="1080"/>
        <w:gridCol w:w="1260"/>
        <w:gridCol w:w="1822"/>
      </w:tblGrid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Plan 2023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Rubber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15,000.00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13,851.77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92.35%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Cashew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201.00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127.63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63.50%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Banana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1,566.00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902.42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57.63%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Durian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37.76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529.18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452.03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85.42%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Rubber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510.51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435.78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85.36%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Cashew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4.78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2.34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48.94%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Banana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6.19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3.24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52.41%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revenue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7.70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10.66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138.50%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price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VND/ton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Rubber COGS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VND/ton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30.075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25.47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84.68%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Cashew COGS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VND/ton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23.737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24.01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101.15%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Banana COGS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VND/ton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4.882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5.48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75362B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112.27%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Durian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VND/ton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9.68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71.90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93.74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130.37%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Export ratio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65%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61.84%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95.14%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(expected)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5%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6%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120.00%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Income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VND/ person/ month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6.1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indirect salary</w:t>
            </w:r>
          </w:p>
        </w:tc>
        <w:tc>
          <w:tcPr>
            <w:tcW w:w="234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17.91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18.29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102.12%</w:t>
            </w:r>
          </w:p>
        </w:tc>
      </w:tr>
      <w:tr w:rsidR="002C0A15" w:rsidTr="0075362B">
        <w:tc>
          <w:tcPr>
            <w:tcW w:w="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6.2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Average direct salary</w:t>
            </w:r>
          </w:p>
        </w:tc>
        <w:tc>
          <w:tcPr>
            <w:tcW w:w="234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5.45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3.74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68.64%</w:t>
            </w:r>
          </w:p>
        </w:tc>
      </w:tr>
    </w:tbl>
    <w:p w:rsidR="002C0A15" w:rsidRDefault="00252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Some investment targets assigned by the General Meeting of Shareholders in 2023: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2430"/>
        <w:gridCol w:w="1620"/>
        <w:gridCol w:w="1440"/>
        <w:gridCol w:w="1530"/>
        <w:gridCol w:w="1642"/>
      </w:tblGrid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  <w:r w:rsidR="0075362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-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  <w:tab w:val="left" w:pos="1056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Compared to Plan 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I.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Agricultural investment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  <w:r w:rsidR="0075362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429.14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  <w:r w:rsidR="0075362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485.97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78.60%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Rubber investment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4,851.26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3,349.71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69.05%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Durian investment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13,577.89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11,136.27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82.02%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II.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investment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25,394.91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14,751.34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58.09%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Banana project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811.40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859.82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105.97%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Daklaoruco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24,583.51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13,891.52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56.51%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Total: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75362B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43,824.05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29,237.31</w:t>
            </w:r>
          </w:p>
        </w:tc>
        <w:tc>
          <w:tcPr>
            <w:tcW w:w="16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66.72%</w:t>
            </w:r>
          </w:p>
        </w:tc>
      </w:tr>
    </w:tbl>
    <w:p w:rsidR="002C0A15" w:rsidRDefault="00252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business results in 2023: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960"/>
        <w:gridCol w:w="1710"/>
        <w:gridCol w:w="1620"/>
        <w:gridCol w:w="1372"/>
      </w:tblGrid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2022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2023/2022 (%)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sales and service provision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496,815,957,810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443,508,685,141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293,484,692,778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284,218,803,700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75362B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31 232 095759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17,798,917,259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8524C6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expenses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70/516,190,571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19,260,401,577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Selling expense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34,903,518,947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34,421,706,984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22,717,256,899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26,784,815,048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(831,378,048)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(2 882,825,571)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347%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 profit before tax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105,595,016,326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93,739,049,520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89%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25,228,278,569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20/081,207,096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80%</w:t>
            </w:r>
          </w:p>
        </w:tc>
      </w:tr>
      <w:tr w:rsidR="002C0A15" w:rsidTr="0075362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**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80,366,737,757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73,657,842,424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753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92%</w:t>
            </w:r>
          </w:p>
        </w:tc>
      </w:tr>
    </w:tbl>
    <w:p w:rsidR="002C0A15" w:rsidRDefault="00252E89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targets:</w:t>
      </w:r>
    </w:p>
    <w:p w:rsidR="002C0A15" w:rsidRDefault="00252E8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Rubber:</w:t>
      </w:r>
    </w:p>
    <w:p w:rsidR="002C0A15" w:rsidRDefault="00252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Exploitation 14,000 tons of dry rubber; average yield of 1.69 tons/ha;</w:t>
      </w:r>
    </w:p>
    <w:p w:rsidR="002C0A15" w:rsidRDefault="00252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sales volume of 14,000 tons;</w:t>
      </w:r>
    </w:p>
    <w:p w:rsidR="002C0A15" w:rsidRDefault="00252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Average selling price: VND 36.00 million/ton (USD 1,500/ton);</w:t>
      </w:r>
    </w:p>
    <w:p w:rsidR="002C0A15" w:rsidRDefault="00252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goods sold: VND 30,336 million/ton (USD 1,264/ton);</w:t>
      </w:r>
    </w:p>
    <w:p w:rsidR="002C0A15" w:rsidRDefault="00252E8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Cashew:</w:t>
      </w:r>
    </w:p>
    <w:p w:rsidR="002C0A15" w:rsidRDefault="00252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Output of 137 tons of fresh </w:t>
      </w:r>
      <w:r w:rsidR="008524C6">
        <w:rPr>
          <w:rFonts w:ascii="Arial" w:hAnsi="Arial"/>
          <w:color w:val="010000"/>
          <w:sz w:val="20"/>
        </w:rPr>
        <w:t>ones</w:t>
      </w:r>
      <w:r>
        <w:rPr>
          <w:rFonts w:ascii="Arial" w:hAnsi="Arial"/>
          <w:color w:val="010000"/>
          <w:sz w:val="20"/>
        </w:rPr>
        <w:t>;</w:t>
      </w:r>
    </w:p>
    <w:p w:rsidR="002C0A15" w:rsidRDefault="00252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Average selling price: VND 20.70 million/ton (USD 1,000/ton);</w:t>
      </w:r>
    </w:p>
    <w:p w:rsidR="002C0A15" w:rsidRDefault="00252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goods sold: VND 22,41 million/ton (USD 1,040/ton);</w:t>
      </w:r>
    </w:p>
    <w:p w:rsidR="002C0A15" w:rsidRDefault="00252E8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Banana:</w:t>
      </w:r>
    </w:p>
    <w:p w:rsidR="002C0A15" w:rsidRDefault="00252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Output of 655.5 tons of banana products;</w:t>
      </w:r>
    </w:p>
    <w:p w:rsidR="002C0A15" w:rsidRDefault="00252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Average selling price: VND 3.0 million/ton;</w:t>
      </w:r>
    </w:p>
    <w:p w:rsidR="002C0A15" w:rsidRDefault="00252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goods sold of VND 4.352 million/ton;</w:t>
      </w:r>
    </w:p>
    <w:p w:rsidR="002C0A15" w:rsidRDefault="00252E8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Durian:</w:t>
      </w:r>
    </w:p>
    <w:p w:rsidR="002C0A15" w:rsidRDefault="00252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Output of 300 tons of fruit;</w:t>
      </w:r>
    </w:p>
    <w:p w:rsidR="002C0A15" w:rsidRDefault="00252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Average selling price: VND 50.0 million/ton;</w:t>
      </w:r>
    </w:p>
    <w:p w:rsidR="002C0A15" w:rsidRDefault="00252E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Cost of goods sold of VND 34.759 million/ton;</w:t>
      </w:r>
    </w:p>
    <w:p w:rsidR="002C0A15" w:rsidRDefault="00252E8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Preliminary business results for 2024: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revenue and other income:</w:t>
      </w:r>
      <w:r>
        <w:rPr>
          <w:rFonts w:ascii="Arial" w:hAnsi="Arial"/>
          <w:color w:val="010000"/>
          <w:sz w:val="20"/>
        </w:rPr>
        <w:t xml:space="preserve"> VND 462,501 million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Revenue from goods sales:</w:t>
      </w:r>
      <w:r>
        <w:rPr>
          <w:rFonts w:ascii="Arial" w:hAnsi="Arial"/>
          <w:color w:val="010000"/>
          <w:sz w:val="20"/>
        </w:rPr>
        <w:t xml:space="preserve"> VND 454,501 million; In which: Rubber: VND 434,700 million; Cashew: </w:t>
      </w:r>
      <w:r>
        <w:rPr>
          <w:rFonts w:ascii="Arial" w:hAnsi="Arial"/>
          <w:color w:val="010000"/>
          <w:sz w:val="20"/>
        </w:rPr>
        <w:t>VND 2,835 million; Banana: VND 1,966 million; Durian: VND 15,000 million;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Financial revenue and other income: VND 8,000 million;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expenses: VND 388,196 million</w:t>
      </w:r>
    </w:p>
    <w:p w:rsidR="002C0A15" w:rsidRDefault="00252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Rubber expense: VND 371,966 Million.</w:t>
      </w:r>
    </w:p>
    <w:p w:rsidR="002C0A15" w:rsidRDefault="00252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Cashew expense: VND 2,949 Million.</w:t>
      </w:r>
    </w:p>
    <w:p w:rsidR="002C0A15" w:rsidRDefault="00252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Banana expe</w:t>
      </w:r>
      <w:r>
        <w:rPr>
          <w:rFonts w:ascii="Arial" w:hAnsi="Arial"/>
          <w:color w:val="010000"/>
          <w:sz w:val="20"/>
        </w:rPr>
        <w:t>nse: VND 2,853 Million.</w:t>
      </w:r>
    </w:p>
    <w:p w:rsidR="002C0A15" w:rsidRDefault="00252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+ Durian expense: VND 10,427 Million.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Consolidated profit before tax: VND 74,400 million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after tax: VND 60,620 million;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Rubber export rate:  65% of total sales volume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Dividend payment rate in 2024: </w:t>
      </w:r>
      <w:r>
        <w:rPr>
          <w:rFonts w:ascii="Arial" w:hAnsi="Arial"/>
          <w:color w:val="010000"/>
          <w:sz w:val="20"/>
        </w:rPr>
        <w:t>6% of the charter capital.</w:t>
      </w:r>
    </w:p>
    <w:p w:rsidR="002C0A15" w:rsidRDefault="00252E89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targets: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- Investing in plantation in vegetative phase: </w:t>
      </w:r>
      <w:r>
        <w:rPr>
          <w:rFonts w:ascii="Arial" w:hAnsi="Arial"/>
          <w:color w:val="010000"/>
          <w:sz w:val="20"/>
        </w:rPr>
        <w:t>VND 9,686,155,470 million, (in which, VND 3,812.46 million for rubber, VND 5,873.69 million for durian), equivalent to 292.47 hectares of rubber plantation in veg</w:t>
      </w:r>
      <w:r>
        <w:rPr>
          <w:rFonts w:ascii="Arial" w:hAnsi="Arial"/>
          <w:color w:val="010000"/>
          <w:sz w:val="20"/>
        </w:rPr>
        <w:t>etative phase area. Average investment expense is VND 13,035,400/hectare of rubber; with VND 94,353,467/ha for 66.64 hectares of durian in vegetative phase area.</w:t>
      </w:r>
    </w:p>
    <w:p w:rsidR="002C0A15" w:rsidRDefault="00252E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Capital construction investment: </w:t>
      </w:r>
      <w:r>
        <w:rPr>
          <w:rFonts w:ascii="Arial" w:hAnsi="Arial"/>
          <w:color w:val="010000"/>
          <w:sz w:val="20"/>
        </w:rPr>
        <w:t xml:space="preserve">VND 23,883,808,112, in which, VND 855,155,400 for DRI High-Tech </w:t>
      </w:r>
      <w:proofErr w:type="spellStart"/>
      <w:r>
        <w:rPr>
          <w:rFonts w:ascii="Arial" w:hAnsi="Arial"/>
          <w:color w:val="010000"/>
          <w:sz w:val="20"/>
        </w:rPr>
        <w:t>Agricuture</w:t>
      </w:r>
      <w:proofErr w:type="spellEnd"/>
      <w:r>
        <w:rPr>
          <w:rFonts w:ascii="Arial" w:hAnsi="Arial"/>
          <w:color w:val="010000"/>
          <w:sz w:val="20"/>
        </w:rPr>
        <w:t xml:space="preserve"> Limited Company, VND 21,416,600,000 for </w:t>
      </w:r>
      <w:proofErr w:type="spellStart"/>
      <w:r>
        <w:rPr>
          <w:rFonts w:ascii="Arial" w:hAnsi="Arial"/>
          <w:color w:val="010000"/>
          <w:sz w:val="20"/>
        </w:rPr>
        <w:t>Daklaoruco</w:t>
      </w:r>
      <w:proofErr w:type="spellEnd"/>
      <w:r>
        <w:rPr>
          <w:rFonts w:ascii="Arial" w:hAnsi="Arial"/>
          <w:color w:val="010000"/>
          <w:sz w:val="20"/>
        </w:rPr>
        <w:t xml:space="preserve"> and VND 1,612,022,712 for DRI’s Office.</w:t>
      </w:r>
    </w:p>
    <w:p w:rsidR="002C0A15" w:rsidRDefault="00252E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activities of the Supervisory Board in 2023 and Orientations for 2024;</w:t>
      </w:r>
    </w:p>
    <w:p w:rsidR="002C0A15" w:rsidRDefault="00252E8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</w:t>
      </w:r>
      <w:r>
        <w:rPr>
          <w:rFonts w:ascii="Arial" w:hAnsi="Arial"/>
          <w:color w:val="010000"/>
          <w:sz w:val="20"/>
        </w:rPr>
        <w:t>ny's Financial Statements 2023 audited by AFC Vietnam Auditing Company.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some key production, business and investment targets for 2024 according to Proposal No. 06/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March 27,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</w:t>
      </w:r>
      <w:r w:rsidRPr="0075362B">
        <w:rPr>
          <w:rFonts w:ascii="Arial" w:hAnsi="Arial"/>
          <w:color w:val="010000"/>
          <w:sz w:val="20"/>
          <w:highlight w:val="yellow"/>
        </w:rPr>
        <w:t xml:space="preserve">Article 3. </w:t>
      </w:r>
      <w:r w:rsidRPr="0075362B">
        <w:rPr>
          <w:rFonts w:ascii="Arial" w:hAnsi="Arial"/>
          <w:color w:val="010000"/>
          <w:sz w:val="20"/>
          <w:highlight w:val="yellow"/>
        </w:rPr>
        <w:t>Approve the plan for profit distribution and fund appropriation in 2023 according to Proposal No. 07/</w:t>
      </w:r>
      <w:proofErr w:type="spellStart"/>
      <w:r w:rsidRPr="0075362B">
        <w:rPr>
          <w:rFonts w:ascii="Arial" w:hAnsi="Arial"/>
          <w:color w:val="010000"/>
          <w:sz w:val="20"/>
          <w:highlight w:val="yellow"/>
        </w:rPr>
        <w:t>TTr</w:t>
      </w:r>
      <w:proofErr w:type="spellEnd"/>
      <w:r w:rsidRPr="0075362B">
        <w:rPr>
          <w:rFonts w:ascii="Arial" w:hAnsi="Arial"/>
          <w:color w:val="010000"/>
          <w:sz w:val="20"/>
          <w:highlight w:val="yellow"/>
        </w:rPr>
        <w:t>-HDQT dated March 27, 2024 of the Board of Directors.</w:t>
      </w:r>
    </w:p>
    <w:tbl>
      <w:tblPr>
        <w:tblStyle w:val="a2"/>
        <w:tblW w:w="9017" w:type="dxa"/>
        <w:tblLayout w:type="fixed"/>
        <w:tblLook w:val="0000" w:firstRow="0" w:lastRow="0" w:firstColumn="0" w:lastColumn="0" w:noHBand="0" w:noVBand="0"/>
      </w:tblPr>
      <w:tblGrid>
        <w:gridCol w:w="4256"/>
        <w:gridCol w:w="1627"/>
        <w:gridCol w:w="3134"/>
      </w:tblGrid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transferred from 2022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As approved by the General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Mandate 2023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Profit after tax in 2023 (2=2.1+2.2)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73,671,476,667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According to the audited Financial Statements 2023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consolidated profit in 2023 (Intra-group foreign exchange gain not distributed according to point d, clause 1, article 74, Circular 200/2014/TT-BTC.)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12,619,032,068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According to the audited Financial Statements 2023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production an</w:t>
            </w:r>
            <w:r>
              <w:rPr>
                <w:rFonts w:ascii="Arial" w:hAnsi="Arial"/>
                <w:color w:val="010000"/>
                <w:sz w:val="20"/>
              </w:rPr>
              <w:t>d business activities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61,052,444,599</w:t>
            </w:r>
          </w:p>
        </w:tc>
        <w:tc>
          <w:tcPr>
            <w:tcW w:w="3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Distributable consolidated profit as of December 31, 2023: 3=0+2-2.1)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61,052,444,599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Fund appropriation:  4=(4.1+4.2+4.3)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12,688,502,320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 10%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6,105,244,460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of distributable profit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Investment and development fund: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6,105,244,460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of distributable profit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bonus fund (1.5 months of average salary)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478,013,400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According to point a, section 2, article 18, Circular 28/2016/TT-BLDTBXH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fund appropriation 5=(3-4)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48,363,942,279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>
              <w:rPr>
                <w:rFonts w:ascii="Arial" w:hAnsi="Arial"/>
                <w:color w:val="010000"/>
                <w:sz w:val="20"/>
              </w:rPr>
              <w:t>Expected dividend for 2023 at 6% of charter capital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43,920,000,000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on profit transferred from Laos to Vietnam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4,443,942,279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of expected profit transfer (estimated tax of 4.275 billion LAK)</w:t>
            </w:r>
          </w:p>
        </w:tc>
      </w:tr>
      <w:tr w:rsidR="002C0A1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after tax</w:t>
            </w:r>
            <w:r>
              <w:rPr>
                <w:rFonts w:ascii="Arial" w:hAnsi="Arial"/>
                <w:color w:val="010000"/>
                <w:sz w:val="20"/>
              </w:rPr>
              <w:t xml:space="preserve"> 8=(5-6-7)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52E89" w:rsidP="0085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0A15" w:rsidRDefault="002C0A15" w:rsidP="008524C6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bookmarkEnd w:id="0"/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(figures based on the 2023 consolidated Financial Statements)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proposed dividend increased from the planned 5% to 6% as the Company's profit met expectations.</w:t>
      </w:r>
    </w:p>
    <w:p w:rsidR="002C0A15" w:rsidRDefault="00252E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8"/>
          <w:tab w:val="left" w:pos="46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Interim dividend paid for 2023: 3%</w:t>
      </w:r>
    </w:p>
    <w:p w:rsidR="002C0A15" w:rsidRDefault="00252E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8"/>
          <w:tab w:val="left" w:pos="46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dividend:  3%, equivalent to VND 300/share</w:t>
      </w:r>
    </w:p>
    <w:p w:rsidR="002C0A15" w:rsidRDefault="00252E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3"/>
          <w:tab w:val="left" w:pos="46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Dividend payment time:  </w:t>
      </w:r>
      <w:r>
        <w:rPr>
          <w:rFonts w:ascii="Arial" w:hAnsi="Arial"/>
          <w:color w:val="010000"/>
          <w:sz w:val="20"/>
        </w:rPr>
        <w:t>Expected from July 15, 2024 to August 15, 2024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the remuneration of the Board of Directors and the Supervisory Board in 2024 according to Proposal No. 08/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March 27,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5. </w:t>
      </w:r>
      <w:r>
        <w:rPr>
          <w:rFonts w:ascii="Arial" w:hAnsi="Arial"/>
          <w:color w:val="010000"/>
          <w:sz w:val="20"/>
        </w:rPr>
        <w:t>Authorize th</w:t>
      </w:r>
      <w:r>
        <w:rPr>
          <w:rFonts w:ascii="Arial" w:hAnsi="Arial"/>
          <w:color w:val="010000"/>
          <w:sz w:val="20"/>
        </w:rPr>
        <w:t>e Board of Directors and the Supervisory Board to select the audit company for the Financial Statements 2024 according to Proposal No. 09/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March 27,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‎‎Article 6. </w:t>
      </w:r>
      <w:r>
        <w:rPr>
          <w:rFonts w:ascii="Arial" w:hAnsi="Arial"/>
          <w:color w:val="010000"/>
          <w:sz w:val="20"/>
        </w:rPr>
        <w:t xml:space="preserve">Approve contracts and transactions with related </w:t>
      </w:r>
      <w:r>
        <w:rPr>
          <w:rFonts w:ascii="Arial" w:hAnsi="Arial"/>
          <w:color w:val="010000"/>
          <w:sz w:val="20"/>
        </w:rPr>
        <w:t>parties of the Company according to Proposal No. 10/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March 27,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7. </w:t>
      </w:r>
      <w:r>
        <w:rPr>
          <w:rFonts w:ascii="Arial" w:hAnsi="Arial"/>
          <w:color w:val="010000"/>
          <w:sz w:val="20"/>
        </w:rPr>
        <w:t xml:space="preserve">Approve the change of the plan for liquidation and replanting of rubber plantations at </w:t>
      </w:r>
      <w:proofErr w:type="spellStart"/>
      <w:r>
        <w:rPr>
          <w:rFonts w:ascii="Arial" w:hAnsi="Arial"/>
          <w:color w:val="010000"/>
          <w:sz w:val="20"/>
        </w:rPr>
        <w:t>Daklaoruco</w:t>
      </w:r>
      <w:proofErr w:type="spellEnd"/>
      <w:r>
        <w:rPr>
          <w:rFonts w:ascii="Arial" w:hAnsi="Arial"/>
          <w:color w:val="010000"/>
          <w:sz w:val="20"/>
        </w:rPr>
        <w:t xml:space="preserve"> according to Proposal No. 11/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</w:t>
      </w:r>
      <w:r>
        <w:rPr>
          <w:rFonts w:ascii="Arial" w:hAnsi="Arial"/>
          <w:color w:val="010000"/>
          <w:sz w:val="20"/>
        </w:rPr>
        <w:t>T dated March 27,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8. </w:t>
      </w:r>
      <w:r>
        <w:rPr>
          <w:rFonts w:ascii="Arial" w:hAnsi="Arial"/>
          <w:color w:val="010000"/>
          <w:sz w:val="20"/>
        </w:rPr>
        <w:t>The General Meeting of Shareholders approves the dismissal of Mr. Tran Le from the position of independent member of the Board of Directors according to Proposal No. 12/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-HDQT dated March 27,</w:t>
      </w:r>
      <w:r>
        <w:rPr>
          <w:rFonts w:ascii="Arial" w:hAnsi="Arial"/>
          <w:color w:val="010000"/>
          <w:sz w:val="20"/>
        </w:rPr>
        <w:t xml:space="preserve"> 2024 of the Board of Directors.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9. </w:t>
      </w:r>
      <w:r>
        <w:rPr>
          <w:rFonts w:ascii="Arial" w:hAnsi="Arial"/>
          <w:color w:val="010000"/>
          <w:sz w:val="20"/>
        </w:rPr>
        <w:t xml:space="preserve">The General Meeting of Shareholders elected Mr. Le </w:t>
      </w:r>
      <w:proofErr w:type="spellStart"/>
      <w:r>
        <w:rPr>
          <w:rFonts w:ascii="Arial" w:hAnsi="Arial"/>
          <w:color w:val="010000"/>
          <w:sz w:val="20"/>
        </w:rPr>
        <w:t>Dinh</w:t>
      </w:r>
      <w:proofErr w:type="spellEnd"/>
      <w:r>
        <w:rPr>
          <w:rFonts w:ascii="Arial" w:hAnsi="Arial"/>
          <w:color w:val="010000"/>
          <w:sz w:val="20"/>
        </w:rPr>
        <w:t xml:space="preserve"> Huyen, born on November 25, 1964, with professional qualifications as an Agricultural Engineer and a Bachelor of Economics, as an independent member of th</w:t>
      </w:r>
      <w:r>
        <w:rPr>
          <w:rFonts w:ascii="Arial" w:hAnsi="Arial"/>
          <w:color w:val="010000"/>
          <w:sz w:val="20"/>
        </w:rPr>
        <w:t>e Board of Directors for the 3rd term (2022-2027).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The Annual General Meeting of Shareholders 2024 of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Rubber Investment Joint Stock Company assigns the Board of Directors to direct and organize the implementation of the contents appro</w:t>
      </w:r>
      <w:r>
        <w:rPr>
          <w:rFonts w:ascii="Arial" w:hAnsi="Arial"/>
          <w:color w:val="010000"/>
          <w:sz w:val="20"/>
        </w:rPr>
        <w:t>ved at this Annual General Meeting in accordance with the provisions of law and the Company's Charter.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Attached to this General Mandate are the documents submitted to the Annual General Meeting of Shareholders 2024.</w:t>
      </w:r>
    </w:p>
    <w:p w:rsidR="002C0A15" w:rsidRDefault="00252E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was approved by the Annual General Meeting of Shareholders 2024 of </w:t>
      </w:r>
      <w:proofErr w:type="spellStart"/>
      <w:r>
        <w:rPr>
          <w:rFonts w:ascii="Arial" w:hAnsi="Arial"/>
          <w:color w:val="010000"/>
          <w:sz w:val="20"/>
        </w:rPr>
        <w:t>Dak</w:t>
      </w:r>
      <w:proofErr w:type="spellEnd"/>
      <w:r>
        <w:rPr>
          <w:rFonts w:ascii="Arial" w:hAnsi="Arial"/>
          <w:color w:val="010000"/>
          <w:sz w:val="20"/>
        </w:rPr>
        <w:t xml:space="preserve"> Lak Rubber Investment Joint Stock Company and takes effect from the date of signing and promulgation.</w:t>
      </w:r>
    </w:p>
    <w:sectPr w:rsidR="002C0A1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60F"/>
    <w:multiLevelType w:val="multilevel"/>
    <w:tmpl w:val="518011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C4C25"/>
    <w:multiLevelType w:val="multilevel"/>
    <w:tmpl w:val="E96A3D98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265BF8"/>
    <w:multiLevelType w:val="multilevel"/>
    <w:tmpl w:val="03682192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543DA6"/>
    <w:multiLevelType w:val="multilevel"/>
    <w:tmpl w:val="B4BC0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36F"/>
    <w:multiLevelType w:val="multilevel"/>
    <w:tmpl w:val="8310A67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2F64"/>
    <w:multiLevelType w:val="multilevel"/>
    <w:tmpl w:val="7F16E5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202A8A"/>
    <w:multiLevelType w:val="multilevel"/>
    <w:tmpl w:val="678A7D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7FA2D4D"/>
    <w:multiLevelType w:val="multilevel"/>
    <w:tmpl w:val="570238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BE60BA1"/>
    <w:multiLevelType w:val="multilevel"/>
    <w:tmpl w:val="B99C2C92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1A7E47"/>
    <w:multiLevelType w:val="multilevel"/>
    <w:tmpl w:val="832EF4A6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A71A2C"/>
    <w:multiLevelType w:val="multilevel"/>
    <w:tmpl w:val="7340E268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752A"/>
    <w:multiLevelType w:val="multilevel"/>
    <w:tmpl w:val="24AC5A20"/>
    <w:lvl w:ilvl="0"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DA3A6C"/>
    <w:multiLevelType w:val="multilevel"/>
    <w:tmpl w:val="10944E50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5"/>
    <w:rsid w:val="00252E89"/>
    <w:rsid w:val="002C0A15"/>
    <w:rsid w:val="0075362B"/>
    <w:rsid w:val="008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2EC6"/>
  <w15:docId w15:val="{70F6B3D9-293A-48BF-B602-24EE2A24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firstLine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yFR5BryAQgnnGc7MRouA27MQ0w==">CgMxLjAyCGguZ2pkZ3hzOAByITFYcC1LR0pkeWlJaTJrY1poMllOeDNjYnc4WXBuSXd4cw==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3</cp:revision>
  <dcterms:created xsi:type="dcterms:W3CDTF">2024-05-04T05:07:00Z</dcterms:created>
  <dcterms:modified xsi:type="dcterms:W3CDTF">2024-05-06T08:34:00Z</dcterms:modified>
</cp:coreProperties>
</file>