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0187" w14:textId="77777777" w:rsidR="00456F37" w:rsidRDefault="00803A31" w:rsidP="00805841">
      <w:pPr>
        <w:spacing w:after="120" w:line="360" w:lineRule="auto"/>
        <w:jc w:val="both"/>
        <w:rPr>
          <w:rFonts w:ascii="Arial" w:eastAsia="Arial" w:hAnsi="Arial" w:cs="Arial"/>
          <w:b/>
          <w:sz w:val="20"/>
          <w:szCs w:val="20"/>
        </w:rPr>
      </w:pPr>
      <w:r>
        <w:rPr>
          <w:rFonts w:ascii="Arial" w:hAnsi="Arial"/>
          <w:b/>
          <w:bCs/>
          <w:sz w:val="20"/>
        </w:rPr>
        <w:t>FT1:</w:t>
      </w:r>
      <w:r>
        <w:rPr>
          <w:rFonts w:ascii="Arial" w:hAnsi="Arial"/>
          <w:b/>
          <w:sz w:val="20"/>
        </w:rPr>
        <w:t xml:space="preserve"> Annual General Mandate </w:t>
      </w:r>
    </w:p>
    <w:p w14:paraId="3E4B801E" w14:textId="77777777" w:rsidR="00456F37" w:rsidRDefault="00803A31" w:rsidP="00805841">
      <w:pPr>
        <w:spacing w:after="120" w:line="360" w:lineRule="auto"/>
        <w:jc w:val="both"/>
        <w:rPr>
          <w:rFonts w:ascii="Arial" w:eastAsia="Arial" w:hAnsi="Arial" w:cs="Arial"/>
          <w:sz w:val="20"/>
          <w:szCs w:val="20"/>
        </w:rPr>
      </w:pPr>
      <w:r>
        <w:rPr>
          <w:rFonts w:ascii="Arial" w:hAnsi="Arial"/>
          <w:sz w:val="20"/>
        </w:rPr>
        <w:t>On April 25, 2024, Machinery Spare Parts No1 Joint Stock Company announced General Mandate No. 01/NQ-DHDCD as follows:</w:t>
      </w:r>
    </w:p>
    <w:p w14:paraId="717EE446"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production and business results in 2023, and the production and business plan for 2024 by the Executive Board with the following specific targets:</w:t>
      </w:r>
    </w:p>
    <w:tbl>
      <w:tblPr>
        <w:tblStyle w:val="a"/>
        <w:tblW w:w="9016" w:type="dxa"/>
        <w:tblLayout w:type="fixed"/>
        <w:tblLook w:val="0400" w:firstRow="0" w:lastRow="0" w:firstColumn="0" w:lastColumn="0" w:noHBand="0" w:noVBand="1"/>
      </w:tblPr>
      <w:tblGrid>
        <w:gridCol w:w="756"/>
        <w:gridCol w:w="2640"/>
        <w:gridCol w:w="1116"/>
        <w:gridCol w:w="2241"/>
        <w:gridCol w:w="2263"/>
      </w:tblGrid>
      <w:tr w:rsidR="00456F37" w14:paraId="11FC5A7E" w14:textId="77777777">
        <w:trPr>
          <w:trHeight w:val="341"/>
        </w:trPr>
        <w:tc>
          <w:tcPr>
            <w:tcW w:w="756" w:type="dxa"/>
            <w:tcBorders>
              <w:top w:val="single" w:sz="4" w:space="0" w:color="000000"/>
              <w:left w:val="single" w:sz="4" w:space="0" w:color="000000"/>
            </w:tcBorders>
            <w:shd w:val="clear" w:color="auto" w:fill="FFFFFF"/>
            <w:tcMar>
              <w:top w:w="0" w:type="dxa"/>
              <w:bottom w:w="0" w:type="dxa"/>
            </w:tcMar>
            <w:vAlign w:val="bottom"/>
          </w:tcPr>
          <w:p w14:paraId="2C08486B"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640" w:type="dxa"/>
            <w:tcBorders>
              <w:top w:val="single" w:sz="4" w:space="0" w:color="000000"/>
              <w:left w:val="single" w:sz="4" w:space="0" w:color="000000"/>
            </w:tcBorders>
            <w:shd w:val="clear" w:color="auto" w:fill="FFFFFF"/>
            <w:tcMar>
              <w:top w:w="0" w:type="dxa"/>
              <w:bottom w:w="0" w:type="dxa"/>
            </w:tcMar>
            <w:vAlign w:val="bottom"/>
          </w:tcPr>
          <w:p w14:paraId="54CEF56E"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1116" w:type="dxa"/>
            <w:tcBorders>
              <w:top w:val="single" w:sz="4" w:space="0" w:color="000000"/>
              <w:left w:val="single" w:sz="4" w:space="0" w:color="000000"/>
            </w:tcBorders>
            <w:shd w:val="clear" w:color="auto" w:fill="FFFFFF"/>
            <w:tcMar>
              <w:top w:w="0" w:type="dxa"/>
              <w:bottom w:w="0" w:type="dxa"/>
            </w:tcMar>
            <w:vAlign w:val="bottom"/>
          </w:tcPr>
          <w:p w14:paraId="22AA5E85"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2241" w:type="dxa"/>
            <w:tcBorders>
              <w:top w:val="single" w:sz="4" w:space="0" w:color="000000"/>
              <w:left w:val="single" w:sz="4" w:space="0" w:color="000000"/>
            </w:tcBorders>
            <w:shd w:val="clear" w:color="auto" w:fill="FFFFFF"/>
            <w:tcMar>
              <w:top w:w="0" w:type="dxa"/>
              <w:bottom w:w="0" w:type="dxa"/>
            </w:tcMar>
            <w:vAlign w:val="bottom"/>
          </w:tcPr>
          <w:p w14:paraId="7CF8DAD2"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w:t>
            </w:r>
          </w:p>
        </w:tc>
        <w:tc>
          <w:tcPr>
            <w:tcW w:w="226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1EFA791"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w:t>
            </w:r>
          </w:p>
        </w:tc>
      </w:tr>
      <w:tr w:rsidR="00456F37" w14:paraId="6E38F6A5" w14:textId="77777777">
        <w:trPr>
          <w:trHeight w:val="331"/>
        </w:trPr>
        <w:tc>
          <w:tcPr>
            <w:tcW w:w="756" w:type="dxa"/>
            <w:tcBorders>
              <w:top w:val="single" w:sz="4" w:space="0" w:color="000000"/>
              <w:left w:val="single" w:sz="4" w:space="0" w:color="000000"/>
            </w:tcBorders>
            <w:shd w:val="clear" w:color="auto" w:fill="FFFFFF"/>
            <w:tcMar>
              <w:top w:w="0" w:type="dxa"/>
              <w:bottom w:w="0" w:type="dxa"/>
            </w:tcMar>
            <w:vAlign w:val="bottom"/>
          </w:tcPr>
          <w:p w14:paraId="19284E25"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640" w:type="dxa"/>
            <w:tcBorders>
              <w:top w:val="single" w:sz="4" w:space="0" w:color="000000"/>
              <w:left w:val="single" w:sz="4" w:space="0" w:color="000000"/>
            </w:tcBorders>
            <w:shd w:val="clear" w:color="auto" w:fill="FFFFFF"/>
            <w:tcMar>
              <w:top w:w="0" w:type="dxa"/>
              <w:bottom w:w="0" w:type="dxa"/>
            </w:tcMar>
            <w:vAlign w:val="bottom"/>
          </w:tcPr>
          <w:p w14:paraId="3A4AA80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revenue</w:t>
            </w:r>
          </w:p>
        </w:tc>
        <w:tc>
          <w:tcPr>
            <w:tcW w:w="1116" w:type="dxa"/>
            <w:tcBorders>
              <w:top w:val="single" w:sz="4" w:space="0" w:color="000000"/>
              <w:left w:val="single" w:sz="4" w:space="0" w:color="000000"/>
            </w:tcBorders>
            <w:shd w:val="clear" w:color="auto" w:fill="FFFFFF"/>
            <w:tcMar>
              <w:top w:w="0" w:type="dxa"/>
              <w:bottom w:w="0" w:type="dxa"/>
            </w:tcMar>
            <w:vAlign w:val="bottom"/>
          </w:tcPr>
          <w:p w14:paraId="5D1CCC10"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2241" w:type="dxa"/>
            <w:tcBorders>
              <w:top w:val="single" w:sz="4" w:space="0" w:color="000000"/>
              <w:left w:val="single" w:sz="4" w:space="0" w:color="000000"/>
            </w:tcBorders>
            <w:shd w:val="clear" w:color="auto" w:fill="FFFFFF"/>
            <w:tcMar>
              <w:top w:w="0" w:type="dxa"/>
              <w:bottom w:w="0" w:type="dxa"/>
            </w:tcMar>
            <w:vAlign w:val="bottom"/>
          </w:tcPr>
          <w:p w14:paraId="34CD7281"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910.15</w:t>
            </w:r>
          </w:p>
        </w:tc>
        <w:tc>
          <w:tcPr>
            <w:tcW w:w="226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8AE9FE5"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910</w:t>
            </w:r>
          </w:p>
        </w:tc>
      </w:tr>
      <w:tr w:rsidR="00456F37" w14:paraId="0BE4073D" w14:textId="77777777">
        <w:trPr>
          <w:trHeight w:val="331"/>
        </w:trPr>
        <w:tc>
          <w:tcPr>
            <w:tcW w:w="756" w:type="dxa"/>
            <w:tcBorders>
              <w:top w:val="single" w:sz="4" w:space="0" w:color="000000"/>
              <w:left w:val="single" w:sz="4" w:space="0" w:color="000000"/>
            </w:tcBorders>
            <w:shd w:val="clear" w:color="auto" w:fill="FFFFFF"/>
            <w:tcMar>
              <w:top w:w="0" w:type="dxa"/>
              <w:bottom w:w="0" w:type="dxa"/>
            </w:tcMar>
            <w:vAlign w:val="bottom"/>
          </w:tcPr>
          <w:p w14:paraId="1A5B0BB5"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640" w:type="dxa"/>
            <w:tcBorders>
              <w:top w:val="single" w:sz="4" w:space="0" w:color="000000"/>
              <w:left w:val="single" w:sz="4" w:space="0" w:color="000000"/>
            </w:tcBorders>
            <w:shd w:val="clear" w:color="auto" w:fill="FFFFFF"/>
            <w:tcMar>
              <w:top w:w="0" w:type="dxa"/>
              <w:bottom w:w="0" w:type="dxa"/>
            </w:tcMar>
            <w:vAlign w:val="bottom"/>
          </w:tcPr>
          <w:p w14:paraId="31DCEAA8"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Value of the industry production</w:t>
            </w:r>
          </w:p>
        </w:tc>
        <w:tc>
          <w:tcPr>
            <w:tcW w:w="1116" w:type="dxa"/>
            <w:tcBorders>
              <w:top w:val="single" w:sz="4" w:space="0" w:color="000000"/>
              <w:left w:val="single" w:sz="4" w:space="0" w:color="000000"/>
            </w:tcBorders>
            <w:shd w:val="clear" w:color="auto" w:fill="FFFFFF"/>
            <w:tcMar>
              <w:top w:w="0" w:type="dxa"/>
              <w:bottom w:w="0" w:type="dxa"/>
            </w:tcMar>
            <w:vAlign w:val="bottom"/>
          </w:tcPr>
          <w:p w14:paraId="032308F3"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2241" w:type="dxa"/>
            <w:tcBorders>
              <w:top w:val="single" w:sz="4" w:space="0" w:color="000000"/>
              <w:left w:val="single" w:sz="4" w:space="0" w:color="000000"/>
            </w:tcBorders>
            <w:shd w:val="clear" w:color="auto" w:fill="FFFFFF"/>
            <w:tcMar>
              <w:top w:w="0" w:type="dxa"/>
              <w:bottom w:w="0" w:type="dxa"/>
            </w:tcMar>
            <w:vAlign w:val="bottom"/>
          </w:tcPr>
          <w:p w14:paraId="721B048D"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864.40</w:t>
            </w:r>
          </w:p>
        </w:tc>
        <w:tc>
          <w:tcPr>
            <w:tcW w:w="226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18A90DC"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870</w:t>
            </w:r>
          </w:p>
        </w:tc>
      </w:tr>
      <w:tr w:rsidR="00456F37" w14:paraId="6C260D9C" w14:textId="77777777">
        <w:trPr>
          <w:trHeight w:val="346"/>
        </w:trPr>
        <w:tc>
          <w:tcPr>
            <w:tcW w:w="75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5F6754B"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64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AFE98B0"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after tax</w:t>
            </w:r>
          </w:p>
        </w:tc>
        <w:tc>
          <w:tcPr>
            <w:tcW w:w="111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43454A1"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224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69F834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59.55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407BE5A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52</w:t>
            </w:r>
          </w:p>
        </w:tc>
      </w:tr>
    </w:tbl>
    <w:p w14:paraId="0AE500A0"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Report on the performance in 2023 and the plan for 2024 of the Board of Directors.</w:t>
      </w:r>
    </w:p>
    <w:p w14:paraId="0E55C3C8"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Report of the Supervisory Board in 2023.</w:t>
      </w:r>
    </w:p>
    <w:p w14:paraId="0B449857"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Proposal on approving the Financial Statements 2023 audited by Vietnam Auditing and Valuation Company Limited.</w:t>
      </w:r>
    </w:p>
    <w:p w14:paraId="6194FC6C"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the Proposal on profit distribution and dividend payment for 2023 in Proposal No. 02/</w:t>
      </w:r>
      <w:proofErr w:type="spellStart"/>
      <w:r>
        <w:rPr>
          <w:rFonts w:ascii="Arial" w:hAnsi="Arial"/>
          <w:sz w:val="20"/>
        </w:rPr>
        <w:t>TTr</w:t>
      </w:r>
      <w:proofErr w:type="spellEnd"/>
      <w:r>
        <w:rPr>
          <w:rFonts w:ascii="Arial" w:hAnsi="Arial"/>
          <w:sz w:val="20"/>
        </w:rPr>
        <w:t>-HDQT presented by the Board of Directors at the Annual General Meeting of Shareholders 2024 as follows:</w:t>
      </w:r>
    </w:p>
    <w:p w14:paraId="2BA4ABA1"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Dividend payment rate:</w:t>
      </w:r>
      <w:r>
        <w:rPr>
          <w:rFonts w:ascii="Arial" w:hAnsi="Arial"/>
          <w:sz w:val="20"/>
        </w:rPr>
        <w:tab/>
        <w:t>VND 3,700/share;</w:t>
      </w:r>
    </w:p>
    <w:p w14:paraId="675904A5"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amount of dividend payment: VND 26,195,456,100;</w:t>
      </w:r>
    </w:p>
    <w:p w14:paraId="5D1420E1" w14:textId="77777777" w:rsidR="00456F37" w:rsidRDefault="00803A31" w:rsidP="00805841">
      <w:pPr>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Allocation to funds and profit distribution</w:t>
      </w:r>
    </w:p>
    <w:p w14:paraId="683E4A00" w14:textId="77777777" w:rsidR="00456F37" w:rsidRDefault="00803A3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 VND</w:t>
      </w:r>
      <w:bookmarkStart w:id="0" w:name="_GoBack"/>
      <w:bookmarkEnd w:id="0"/>
    </w:p>
    <w:tbl>
      <w:tblPr>
        <w:tblStyle w:val="a0"/>
        <w:tblW w:w="9016" w:type="dxa"/>
        <w:tblLayout w:type="fixed"/>
        <w:tblLook w:val="0400" w:firstRow="0" w:lastRow="0" w:firstColumn="0" w:lastColumn="0" w:noHBand="0" w:noVBand="1"/>
      </w:tblPr>
      <w:tblGrid>
        <w:gridCol w:w="655"/>
        <w:gridCol w:w="5031"/>
        <w:gridCol w:w="1015"/>
        <w:gridCol w:w="2315"/>
      </w:tblGrid>
      <w:tr w:rsidR="00456F37" w14:paraId="5081B1EC" w14:textId="77777777">
        <w:trPr>
          <w:trHeight w:val="941"/>
        </w:trPr>
        <w:tc>
          <w:tcPr>
            <w:tcW w:w="655" w:type="dxa"/>
            <w:tcBorders>
              <w:top w:val="single" w:sz="4" w:space="0" w:color="000000"/>
              <w:left w:val="single" w:sz="4" w:space="0" w:color="000000"/>
            </w:tcBorders>
            <w:shd w:val="clear" w:color="auto" w:fill="FFFFFF"/>
            <w:tcMar>
              <w:top w:w="0" w:type="dxa"/>
              <w:bottom w:w="0" w:type="dxa"/>
            </w:tcMar>
          </w:tcPr>
          <w:p w14:paraId="38A9E24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5031" w:type="dxa"/>
            <w:tcBorders>
              <w:top w:val="single" w:sz="4" w:space="0" w:color="000000"/>
              <w:left w:val="single" w:sz="4" w:space="0" w:color="000000"/>
            </w:tcBorders>
            <w:shd w:val="clear" w:color="auto" w:fill="FFFFFF"/>
            <w:tcMar>
              <w:top w:w="0" w:type="dxa"/>
              <w:bottom w:w="0" w:type="dxa"/>
            </w:tcMar>
          </w:tcPr>
          <w:p w14:paraId="685A966E"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1015" w:type="dxa"/>
            <w:tcBorders>
              <w:top w:val="single" w:sz="4" w:space="0" w:color="000000"/>
              <w:left w:val="single" w:sz="4" w:space="0" w:color="000000"/>
            </w:tcBorders>
            <w:shd w:val="clear" w:color="auto" w:fill="FFFFFF"/>
            <w:tcMar>
              <w:top w:w="0" w:type="dxa"/>
              <w:bottom w:w="0" w:type="dxa"/>
            </w:tcMar>
            <w:vAlign w:val="center"/>
          </w:tcPr>
          <w:p w14:paraId="7649F59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w:t>
            </w:r>
          </w:p>
          <w:p w14:paraId="0E5F96D2"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2315" w:type="dxa"/>
            <w:tcBorders>
              <w:top w:val="single" w:sz="4" w:space="0" w:color="000000"/>
              <w:left w:val="single" w:sz="4" w:space="0" w:color="000000"/>
              <w:right w:val="single" w:sz="4" w:space="0" w:color="000000"/>
            </w:tcBorders>
            <w:shd w:val="clear" w:color="auto" w:fill="FFFFFF"/>
            <w:tcMar>
              <w:top w:w="0" w:type="dxa"/>
              <w:bottom w:w="0" w:type="dxa"/>
            </w:tcMar>
          </w:tcPr>
          <w:p w14:paraId="0429BE99"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w:t>
            </w:r>
          </w:p>
        </w:tc>
      </w:tr>
      <w:tr w:rsidR="00456F37" w14:paraId="79308752" w14:textId="77777777">
        <w:trPr>
          <w:trHeight w:val="312"/>
        </w:trPr>
        <w:tc>
          <w:tcPr>
            <w:tcW w:w="655" w:type="dxa"/>
            <w:tcBorders>
              <w:top w:val="single" w:sz="4" w:space="0" w:color="000000"/>
              <w:left w:val="single" w:sz="4" w:space="0" w:color="000000"/>
            </w:tcBorders>
            <w:shd w:val="clear" w:color="auto" w:fill="FFFFFF"/>
            <w:tcMar>
              <w:top w:w="0" w:type="dxa"/>
              <w:bottom w:w="0" w:type="dxa"/>
            </w:tcMar>
            <w:vAlign w:val="bottom"/>
          </w:tcPr>
          <w:p w14:paraId="1A93895F"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5031" w:type="dxa"/>
            <w:tcBorders>
              <w:top w:val="single" w:sz="4" w:space="0" w:color="000000"/>
              <w:left w:val="single" w:sz="4" w:space="0" w:color="000000"/>
            </w:tcBorders>
            <w:shd w:val="clear" w:color="auto" w:fill="FFFFFF"/>
            <w:tcMar>
              <w:top w:w="0" w:type="dxa"/>
              <w:bottom w:w="0" w:type="dxa"/>
            </w:tcMar>
            <w:vAlign w:val="bottom"/>
          </w:tcPr>
          <w:p w14:paraId="2909C4CD"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Remaining profit after tax from previous years</w:t>
            </w:r>
          </w:p>
        </w:tc>
        <w:tc>
          <w:tcPr>
            <w:tcW w:w="1015" w:type="dxa"/>
            <w:tcBorders>
              <w:top w:val="single" w:sz="4" w:space="0" w:color="000000"/>
              <w:left w:val="single" w:sz="4" w:space="0" w:color="000000"/>
            </w:tcBorders>
            <w:shd w:val="clear" w:color="auto" w:fill="FFFFFF"/>
            <w:tcMar>
              <w:top w:w="0" w:type="dxa"/>
              <w:bottom w:w="0" w:type="dxa"/>
            </w:tcMar>
          </w:tcPr>
          <w:p w14:paraId="76CFA44B" w14:textId="77777777" w:rsidR="00456F37" w:rsidRDefault="00456F37">
            <w:pPr>
              <w:spacing w:after="120" w:line="360" w:lineRule="auto"/>
              <w:jc w:val="center"/>
              <w:rPr>
                <w:rFonts w:ascii="Arial" w:eastAsia="Arial" w:hAnsi="Arial" w:cs="Arial"/>
                <w:sz w:val="20"/>
                <w:szCs w:val="20"/>
              </w:rPr>
            </w:pPr>
          </w:p>
        </w:tc>
        <w:tc>
          <w:tcPr>
            <w:tcW w:w="23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6DEB773"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w:t>
            </w:r>
          </w:p>
        </w:tc>
      </w:tr>
      <w:tr w:rsidR="00456F37" w14:paraId="17FA174A" w14:textId="77777777">
        <w:trPr>
          <w:trHeight w:val="312"/>
        </w:trPr>
        <w:tc>
          <w:tcPr>
            <w:tcW w:w="655" w:type="dxa"/>
            <w:tcBorders>
              <w:top w:val="single" w:sz="4" w:space="0" w:color="000000"/>
              <w:left w:val="single" w:sz="4" w:space="0" w:color="000000"/>
            </w:tcBorders>
            <w:shd w:val="clear" w:color="auto" w:fill="FFFFFF"/>
            <w:tcMar>
              <w:top w:w="0" w:type="dxa"/>
              <w:bottom w:w="0" w:type="dxa"/>
            </w:tcMar>
            <w:vAlign w:val="bottom"/>
          </w:tcPr>
          <w:p w14:paraId="55C45F1B"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5031" w:type="dxa"/>
            <w:tcBorders>
              <w:top w:val="single" w:sz="4" w:space="0" w:color="000000"/>
              <w:left w:val="single" w:sz="4" w:space="0" w:color="000000"/>
            </w:tcBorders>
            <w:shd w:val="clear" w:color="auto" w:fill="FFFFFF"/>
            <w:tcMar>
              <w:top w:w="0" w:type="dxa"/>
              <w:bottom w:w="0" w:type="dxa"/>
            </w:tcMar>
            <w:vAlign w:val="bottom"/>
          </w:tcPr>
          <w:p w14:paraId="698174A2"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after tax in 2023</w:t>
            </w:r>
          </w:p>
        </w:tc>
        <w:tc>
          <w:tcPr>
            <w:tcW w:w="1015" w:type="dxa"/>
            <w:tcBorders>
              <w:top w:val="single" w:sz="4" w:space="0" w:color="000000"/>
              <w:left w:val="single" w:sz="4" w:space="0" w:color="000000"/>
            </w:tcBorders>
            <w:shd w:val="clear" w:color="auto" w:fill="FFFFFF"/>
            <w:tcMar>
              <w:top w:w="0" w:type="dxa"/>
              <w:bottom w:w="0" w:type="dxa"/>
            </w:tcMar>
          </w:tcPr>
          <w:p w14:paraId="26646549" w14:textId="77777777" w:rsidR="00456F37" w:rsidRDefault="00456F37">
            <w:pPr>
              <w:spacing w:after="120" w:line="360" w:lineRule="auto"/>
              <w:jc w:val="center"/>
              <w:rPr>
                <w:rFonts w:ascii="Arial" w:eastAsia="Arial" w:hAnsi="Arial" w:cs="Arial"/>
                <w:sz w:val="20"/>
                <w:szCs w:val="20"/>
              </w:rPr>
            </w:pPr>
          </w:p>
        </w:tc>
        <w:tc>
          <w:tcPr>
            <w:tcW w:w="2315"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8E73B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59,546,077,008</w:t>
            </w:r>
          </w:p>
        </w:tc>
      </w:tr>
      <w:tr w:rsidR="00456F37" w14:paraId="0B0C1843" w14:textId="77777777">
        <w:trPr>
          <w:trHeight w:val="370"/>
        </w:trPr>
        <w:tc>
          <w:tcPr>
            <w:tcW w:w="655" w:type="dxa"/>
            <w:tcBorders>
              <w:top w:val="single" w:sz="4" w:space="0" w:color="000000"/>
              <w:left w:val="single" w:sz="4" w:space="0" w:color="000000"/>
            </w:tcBorders>
            <w:shd w:val="clear" w:color="auto" w:fill="FFFFFF"/>
            <w:tcMar>
              <w:top w:w="0" w:type="dxa"/>
              <w:bottom w:w="0" w:type="dxa"/>
            </w:tcMar>
          </w:tcPr>
          <w:p w14:paraId="705C2342"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5031" w:type="dxa"/>
            <w:tcBorders>
              <w:top w:val="single" w:sz="4" w:space="0" w:color="000000"/>
              <w:left w:val="single" w:sz="4" w:space="0" w:color="000000"/>
            </w:tcBorders>
            <w:shd w:val="clear" w:color="auto" w:fill="FFFFFF"/>
            <w:tcMar>
              <w:top w:w="0" w:type="dxa"/>
              <w:bottom w:w="0" w:type="dxa"/>
            </w:tcMar>
          </w:tcPr>
          <w:p w14:paraId="19C18FB8"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profit after tax up to the end of 2023</w:t>
            </w:r>
          </w:p>
        </w:tc>
        <w:tc>
          <w:tcPr>
            <w:tcW w:w="1015" w:type="dxa"/>
            <w:tcBorders>
              <w:top w:val="single" w:sz="4" w:space="0" w:color="000000"/>
              <w:left w:val="single" w:sz="4" w:space="0" w:color="000000"/>
            </w:tcBorders>
            <w:shd w:val="clear" w:color="auto" w:fill="FFFFFF"/>
            <w:tcMar>
              <w:top w:w="0" w:type="dxa"/>
              <w:bottom w:w="0" w:type="dxa"/>
            </w:tcMar>
          </w:tcPr>
          <w:p w14:paraId="31B33952" w14:textId="77777777" w:rsidR="00456F37" w:rsidRDefault="00456F37">
            <w:pPr>
              <w:spacing w:after="120" w:line="360" w:lineRule="auto"/>
              <w:jc w:val="center"/>
              <w:rPr>
                <w:rFonts w:ascii="Arial" w:eastAsia="Arial" w:hAnsi="Arial" w:cs="Arial"/>
                <w:sz w:val="20"/>
                <w:szCs w:val="20"/>
              </w:rPr>
            </w:pPr>
          </w:p>
        </w:tc>
        <w:tc>
          <w:tcPr>
            <w:tcW w:w="2315" w:type="dxa"/>
            <w:tcBorders>
              <w:top w:val="single" w:sz="4" w:space="0" w:color="000000"/>
              <w:left w:val="single" w:sz="4" w:space="0" w:color="000000"/>
              <w:right w:val="single" w:sz="4" w:space="0" w:color="000000"/>
            </w:tcBorders>
            <w:shd w:val="clear" w:color="auto" w:fill="FFFFFF"/>
            <w:tcMar>
              <w:top w:w="0" w:type="dxa"/>
              <w:bottom w:w="0" w:type="dxa"/>
            </w:tcMar>
          </w:tcPr>
          <w:p w14:paraId="43AAD07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59,546,077,008</w:t>
            </w:r>
          </w:p>
        </w:tc>
      </w:tr>
      <w:tr w:rsidR="00456F37" w14:paraId="07542F23" w14:textId="77777777" w:rsidTr="00F34D1E">
        <w:trPr>
          <w:trHeight w:val="317"/>
        </w:trPr>
        <w:tc>
          <w:tcPr>
            <w:tcW w:w="655" w:type="dxa"/>
            <w:tcBorders>
              <w:top w:val="single" w:sz="4" w:space="0" w:color="000000"/>
              <w:left w:val="single" w:sz="4" w:space="0" w:color="000000"/>
              <w:bottom w:val="single" w:sz="4" w:space="0" w:color="auto"/>
            </w:tcBorders>
            <w:shd w:val="clear" w:color="auto" w:fill="FFFFFF"/>
            <w:tcMar>
              <w:top w:w="0" w:type="dxa"/>
              <w:bottom w:w="0" w:type="dxa"/>
            </w:tcMar>
            <w:vAlign w:val="bottom"/>
          </w:tcPr>
          <w:p w14:paraId="6A0B6A33"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5031" w:type="dxa"/>
            <w:tcBorders>
              <w:top w:val="single" w:sz="4" w:space="0" w:color="000000"/>
              <w:left w:val="single" w:sz="4" w:space="0" w:color="000000"/>
              <w:bottom w:val="single" w:sz="4" w:space="0" w:color="auto"/>
            </w:tcBorders>
            <w:shd w:val="clear" w:color="auto" w:fill="FFFFFF"/>
            <w:tcMar>
              <w:top w:w="0" w:type="dxa"/>
              <w:bottom w:w="0" w:type="dxa"/>
            </w:tcMar>
            <w:vAlign w:val="bottom"/>
          </w:tcPr>
          <w:p w14:paraId="52F618A4"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distribution</w:t>
            </w:r>
          </w:p>
        </w:tc>
        <w:tc>
          <w:tcPr>
            <w:tcW w:w="1015" w:type="dxa"/>
            <w:tcBorders>
              <w:top w:val="single" w:sz="4" w:space="0" w:color="000000"/>
              <w:left w:val="single" w:sz="4" w:space="0" w:color="000000"/>
              <w:bottom w:val="single" w:sz="4" w:space="0" w:color="auto"/>
            </w:tcBorders>
            <w:shd w:val="clear" w:color="auto" w:fill="FFFFFF"/>
            <w:tcMar>
              <w:top w:w="0" w:type="dxa"/>
              <w:bottom w:w="0" w:type="dxa"/>
            </w:tcMar>
          </w:tcPr>
          <w:p w14:paraId="461C3DEB" w14:textId="77777777" w:rsidR="00456F37" w:rsidRDefault="00456F37">
            <w:pPr>
              <w:spacing w:after="120" w:line="360" w:lineRule="auto"/>
              <w:jc w:val="center"/>
              <w:rPr>
                <w:rFonts w:ascii="Arial" w:eastAsia="Arial" w:hAnsi="Arial" w:cs="Arial"/>
                <w:sz w:val="20"/>
                <w:szCs w:val="20"/>
              </w:rPr>
            </w:pPr>
          </w:p>
        </w:tc>
        <w:tc>
          <w:tcPr>
            <w:tcW w:w="2315" w:type="dxa"/>
            <w:tcBorders>
              <w:top w:val="single" w:sz="4" w:space="0" w:color="000000"/>
              <w:left w:val="single" w:sz="4" w:space="0" w:color="000000"/>
              <w:bottom w:val="single" w:sz="4" w:space="0" w:color="auto"/>
              <w:right w:val="single" w:sz="4" w:space="0" w:color="000000"/>
            </w:tcBorders>
            <w:shd w:val="clear" w:color="auto" w:fill="FFFFFF"/>
            <w:tcMar>
              <w:top w:w="0" w:type="dxa"/>
              <w:bottom w:w="0" w:type="dxa"/>
            </w:tcMar>
          </w:tcPr>
          <w:p w14:paraId="44804141" w14:textId="77777777" w:rsidR="00456F37" w:rsidRDefault="00456F37">
            <w:pPr>
              <w:spacing w:after="120" w:line="360" w:lineRule="auto"/>
              <w:jc w:val="center"/>
              <w:rPr>
                <w:rFonts w:ascii="Arial" w:eastAsia="Arial" w:hAnsi="Arial" w:cs="Arial"/>
                <w:sz w:val="20"/>
                <w:szCs w:val="20"/>
              </w:rPr>
            </w:pPr>
          </w:p>
        </w:tc>
      </w:tr>
      <w:tr w:rsidR="00456F37" w14:paraId="0351260B" w14:textId="77777777" w:rsidTr="00F34D1E">
        <w:trPr>
          <w:trHeight w:val="312"/>
        </w:trPr>
        <w:tc>
          <w:tcPr>
            <w:tcW w:w="65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vAlign w:val="bottom"/>
          </w:tcPr>
          <w:p w14:paraId="43A100FF"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4.1</w:t>
            </w:r>
          </w:p>
        </w:tc>
        <w:tc>
          <w:tcPr>
            <w:tcW w:w="5031"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vAlign w:val="bottom"/>
          </w:tcPr>
          <w:p w14:paraId="12B001B8"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Investment and development fund</w:t>
            </w:r>
          </w:p>
        </w:tc>
        <w:tc>
          <w:tcPr>
            <w:tcW w:w="101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053EA379" w14:textId="77777777" w:rsidR="00456F37" w:rsidRPr="008E7070" w:rsidRDefault="00456F37">
            <w:pPr>
              <w:spacing w:after="120" w:line="360" w:lineRule="auto"/>
              <w:jc w:val="center"/>
              <w:rPr>
                <w:rFonts w:ascii="Arial" w:eastAsia="Arial" w:hAnsi="Arial" w:cs="Arial"/>
                <w:i/>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4F121234" w14:textId="77777777" w:rsidR="00456F37" w:rsidRPr="008E7070" w:rsidRDefault="00456F37">
            <w:pPr>
              <w:spacing w:after="120" w:line="360" w:lineRule="auto"/>
              <w:jc w:val="center"/>
              <w:rPr>
                <w:rFonts w:ascii="Arial" w:eastAsia="Arial" w:hAnsi="Arial" w:cs="Arial"/>
                <w:i/>
                <w:sz w:val="20"/>
                <w:szCs w:val="20"/>
              </w:rPr>
            </w:pPr>
          </w:p>
        </w:tc>
      </w:tr>
      <w:tr w:rsidR="00456F37" w14:paraId="3C0D1749" w14:textId="77777777" w:rsidTr="00F34D1E">
        <w:trPr>
          <w:trHeight w:val="624"/>
        </w:trPr>
        <w:tc>
          <w:tcPr>
            <w:tcW w:w="65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5B2D1C9B"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4.2</w:t>
            </w:r>
          </w:p>
        </w:tc>
        <w:tc>
          <w:tcPr>
            <w:tcW w:w="5031"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6CAF5162"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Bonus and welfare fund:</w:t>
            </w:r>
          </w:p>
        </w:tc>
        <w:tc>
          <w:tcPr>
            <w:tcW w:w="101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1CD1FCBD" w14:textId="77777777" w:rsidR="00456F37" w:rsidRPr="008E7070" w:rsidRDefault="00456F37">
            <w:pPr>
              <w:spacing w:after="120" w:line="360" w:lineRule="auto"/>
              <w:jc w:val="center"/>
              <w:rPr>
                <w:rFonts w:ascii="Arial" w:eastAsia="Arial" w:hAnsi="Arial" w:cs="Arial"/>
                <w:i/>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tcMar>
          </w:tcPr>
          <w:p w14:paraId="3ED993EF"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32,133,006,783</w:t>
            </w:r>
          </w:p>
        </w:tc>
      </w:tr>
      <w:tr w:rsidR="00456F37" w14:paraId="6FF2A13D" w14:textId="77777777" w:rsidTr="00F34D1E">
        <w:trPr>
          <w:trHeight w:val="619"/>
        </w:trPr>
        <w:tc>
          <w:tcPr>
            <w:tcW w:w="655" w:type="dxa"/>
            <w:tcBorders>
              <w:top w:val="single" w:sz="4" w:space="0" w:color="auto"/>
              <w:left w:val="single" w:sz="4" w:space="0" w:color="000000"/>
            </w:tcBorders>
            <w:shd w:val="clear" w:color="auto" w:fill="FFFFFF"/>
            <w:tcMar>
              <w:top w:w="0" w:type="dxa"/>
              <w:bottom w:w="0" w:type="dxa"/>
            </w:tcMar>
          </w:tcPr>
          <w:p w14:paraId="5D430EBB"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lastRenderedPageBreak/>
              <w:t>4.3</w:t>
            </w:r>
          </w:p>
        </w:tc>
        <w:tc>
          <w:tcPr>
            <w:tcW w:w="5031" w:type="dxa"/>
            <w:tcBorders>
              <w:top w:val="single" w:sz="4" w:space="0" w:color="auto"/>
              <w:left w:val="single" w:sz="4" w:space="0" w:color="000000"/>
            </w:tcBorders>
            <w:shd w:val="clear" w:color="auto" w:fill="FFFFFF"/>
            <w:tcMar>
              <w:top w:w="0" w:type="dxa"/>
              <w:bottom w:w="0" w:type="dxa"/>
            </w:tcMar>
          </w:tcPr>
          <w:p w14:paraId="7098F326"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Bonus fund for managers:</w:t>
            </w:r>
          </w:p>
        </w:tc>
        <w:tc>
          <w:tcPr>
            <w:tcW w:w="1015" w:type="dxa"/>
            <w:tcBorders>
              <w:top w:val="single" w:sz="4" w:space="0" w:color="auto"/>
              <w:left w:val="single" w:sz="4" w:space="0" w:color="000000"/>
            </w:tcBorders>
            <w:shd w:val="clear" w:color="auto" w:fill="FFFFFF"/>
            <w:tcMar>
              <w:top w:w="0" w:type="dxa"/>
              <w:bottom w:w="0" w:type="dxa"/>
            </w:tcMar>
          </w:tcPr>
          <w:p w14:paraId="36B4E321" w14:textId="77777777" w:rsidR="00456F37" w:rsidRPr="008E7070" w:rsidRDefault="00456F37">
            <w:pPr>
              <w:spacing w:after="120" w:line="360" w:lineRule="auto"/>
              <w:jc w:val="center"/>
              <w:rPr>
                <w:rFonts w:ascii="Arial" w:eastAsia="Arial" w:hAnsi="Arial" w:cs="Arial"/>
                <w:i/>
                <w:sz w:val="20"/>
                <w:szCs w:val="20"/>
              </w:rPr>
            </w:pPr>
          </w:p>
        </w:tc>
        <w:tc>
          <w:tcPr>
            <w:tcW w:w="2315" w:type="dxa"/>
            <w:tcBorders>
              <w:top w:val="single" w:sz="4" w:space="0" w:color="auto"/>
              <w:left w:val="single" w:sz="4" w:space="0" w:color="000000"/>
              <w:right w:val="single" w:sz="4" w:space="0" w:color="000000"/>
            </w:tcBorders>
            <w:shd w:val="clear" w:color="auto" w:fill="FFFFFF"/>
            <w:tcMar>
              <w:top w:w="0" w:type="dxa"/>
              <w:bottom w:w="0" w:type="dxa"/>
            </w:tcMar>
          </w:tcPr>
          <w:p w14:paraId="547A393C"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1,217,614,125</w:t>
            </w:r>
          </w:p>
        </w:tc>
      </w:tr>
      <w:tr w:rsidR="00456F37" w14:paraId="63200B61" w14:textId="77777777">
        <w:trPr>
          <w:trHeight w:val="643"/>
        </w:trPr>
        <w:tc>
          <w:tcPr>
            <w:tcW w:w="655" w:type="dxa"/>
            <w:tcBorders>
              <w:top w:val="single" w:sz="4" w:space="0" w:color="000000"/>
              <w:left w:val="single" w:sz="4" w:space="0" w:color="000000"/>
              <w:bottom w:val="single" w:sz="4" w:space="0" w:color="000000"/>
            </w:tcBorders>
            <w:shd w:val="clear" w:color="auto" w:fill="FFFFFF"/>
            <w:tcMar>
              <w:top w:w="0" w:type="dxa"/>
              <w:bottom w:w="0" w:type="dxa"/>
            </w:tcMar>
          </w:tcPr>
          <w:p w14:paraId="4A209752"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4.4</w:t>
            </w:r>
          </w:p>
        </w:tc>
        <w:tc>
          <w:tcPr>
            <w:tcW w:w="5031" w:type="dxa"/>
            <w:tcBorders>
              <w:top w:val="single" w:sz="4" w:space="0" w:color="000000"/>
              <w:left w:val="single" w:sz="4" w:space="0" w:color="000000"/>
              <w:bottom w:val="single" w:sz="4" w:space="0" w:color="000000"/>
            </w:tcBorders>
            <w:shd w:val="clear" w:color="auto" w:fill="FFFFFF"/>
            <w:tcMar>
              <w:top w:w="0" w:type="dxa"/>
              <w:bottom w:w="0" w:type="dxa"/>
            </w:tcMar>
          </w:tcPr>
          <w:p w14:paraId="5F5A0FDC"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Profit for dividend payment</w:t>
            </w:r>
          </w:p>
        </w:tc>
        <w:tc>
          <w:tcPr>
            <w:tcW w:w="1015" w:type="dxa"/>
            <w:tcBorders>
              <w:top w:val="single" w:sz="4" w:space="0" w:color="000000"/>
              <w:left w:val="single" w:sz="4" w:space="0" w:color="000000"/>
              <w:bottom w:val="single" w:sz="4" w:space="0" w:color="000000"/>
            </w:tcBorders>
            <w:shd w:val="clear" w:color="auto" w:fill="FFFFFF"/>
            <w:tcMar>
              <w:top w:w="0" w:type="dxa"/>
              <w:bottom w:w="0" w:type="dxa"/>
            </w:tcMar>
          </w:tcPr>
          <w:p w14:paraId="1D1F5A6B" w14:textId="77777777" w:rsidR="00456F37" w:rsidRPr="008E7070" w:rsidRDefault="00456F37">
            <w:pPr>
              <w:spacing w:after="120" w:line="360" w:lineRule="auto"/>
              <w:jc w:val="center"/>
              <w:rPr>
                <w:rFonts w:ascii="Arial" w:eastAsia="Arial" w:hAnsi="Arial" w:cs="Arial"/>
                <w:i/>
                <w:sz w:val="20"/>
                <w:szCs w:val="20"/>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DC7923" w14:textId="77777777" w:rsidR="00456F37" w:rsidRPr="008E7070" w:rsidRDefault="00803A31">
            <w:pPr>
              <w:pBdr>
                <w:top w:val="nil"/>
                <w:left w:val="nil"/>
                <w:bottom w:val="nil"/>
                <w:right w:val="nil"/>
                <w:between w:val="nil"/>
              </w:pBdr>
              <w:spacing w:after="120" w:line="360" w:lineRule="auto"/>
              <w:jc w:val="center"/>
              <w:rPr>
                <w:rFonts w:ascii="Arial" w:eastAsia="Arial" w:hAnsi="Arial" w:cs="Arial"/>
                <w:i/>
                <w:sz w:val="20"/>
                <w:szCs w:val="20"/>
              </w:rPr>
            </w:pPr>
            <w:r w:rsidRPr="008E7070">
              <w:rPr>
                <w:rFonts w:ascii="Arial" w:hAnsi="Arial"/>
                <w:i/>
                <w:sz w:val="20"/>
              </w:rPr>
              <w:t>26,195,456,100</w:t>
            </w:r>
          </w:p>
        </w:tc>
      </w:tr>
    </w:tbl>
    <w:p w14:paraId="5F617602"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authorizes the Board of Directors, based on the production and business situation in 2024, to organize the implementation of dividend payment to shareholders at an appropriate time in 2024; ensuring compliance with FUTU1's Charter and legal regulations for public companies.</w:t>
      </w:r>
    </w:p>
    <w:p w14:paraId="38F9088A"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6. Approve the Proposal on approving the actual salary and remuneration fund in 2023 and approving the planned salary and remuneration fund for 2024 of the Board of Directors and the Supervisory Board in Proposal No. 04/</w:t>
      </w:r>
      <w:proofErr w:type="spellStart"/>
      <w:r>
        <w:rPr>
          <w:rFonts w:ascii="Arial" w:hAnsi="Arial"/>
          <w:sz w:val="20"/>
        </w:rPr>
        <w:t>TTr</w:t>
      </w:r>
      <w:proofErr w:type="spellEnd"/>
      <w:r>
        <w:rPr>
          <w:rFonts w:ascii="Arial" w:hAnsi="Arial"/>
          <w:sz w:val="20"/>
        </w:rPr>
        <w:t>-HDQT presented by the Board of Directors at the Annual General Meeting of Shareholders 2024 as follows:</w:t>
      </w:r>
    </w:p>
    <w:tbl>
      <w:tblPr>
        <w:tblStyle w:val="a1"/>
        <w:tblW w:w="9016" w:type="dxa"/>
        <w:tblLayout w:type="fixed"/>
        <w:tblLook w:val="0400" w:firstRow="0" w:lastRow="0" w:firstColumn="0" w:lastColumn="0" w:noHBand="0" w:noVBand="1"/>
      </w:tblPr>
      <w:tblGrid>
        <w:gridCol w:w="679"/>
        <w:gridCol w:w="2400"/>
        <w:gridCol w:w="1215"/>
        <w:gridCol w:w="2196"/>
        <w:gridCol w:w="2526"/>
      </w:tblGrid>
      <w:tr w:rsidR="00456F37" w14:paraId="6DD1696D" w14:textId="77777777">
        <w:trPr>
          <w:trHeight w:val="648"/>
        </w:trPr>
        <w:tc>
          <w:tcPr>
            <w:tcW w:w="679" w:type="dxa"/>
            <w:tcBorders>
              <w:top w:val="single" w:sz="4" w:space="0" w:color="000000"/>
              <w:left w:val="single" w:sz="4" w:space="0" w:color="000000"/>
            </w:tcBorders>
            <w:shd w:val="clear" w:color="auto" w:fill="FFFFFF"/>
            <w:tcMar>
              <w:top w:w="0" w:type="dxa"/>
              <w:bottom w:w="0" w:type="dxa"/>
            </w:tcMar>
            <w:vAlign w:val="center"/>
          </w:tcPr>
          <w:p w14:paraId="44C9597E"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400" w:type="dxa"/>
            <w:tcBorders>
              <w:top w:val="single" w:sz="4" w:space="0" w:color="000000"/>
              <w:left w:val="single" w:sz="4" w:space="0" w:color="000000"/>
            </w:tcBorders>
            <w:shd w:val="clear" w:color="auto" w:fill="FFFFFF"/>
            <w:tcMar>
              <w:top w:w="0" w:type="dxa"/>
              <w:bottom w:w="0" w:type="dxa"/>
            </w:tcMar>
            <w:vAlign w:val="center"/>
          </w:tcPr>
          <w:p w14:paraId="7B7B1BEC"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Position</w:t>
            </w:r>
          </w:p>
        </w:tc>
        <w:tc>
          <w:tcPr>
            <w:tcW w:w="1215" w:type="dxa"/>
            <w:tcBorders>
              <w:top w:val="single" w:sz="4" w:space="0" w:color="000000"/>
              <w:left w:val="single" w:sz="4" w:space="0" w:color="000000"/>
            </w:tcBorders>
            <w:shd w:val="clear" w:color="auto" w:fill="FFFFFF"/>
            <w:tcMar>
              <w:top w:w="0" w:type="dxa"/>
              <w:bottom w:w="0" w:type="dxa"/>
            </w:tcMar>
            <w:vAlign w:val="bottom"/>
          </w:tcPr>
          <w:p w14:paraId="3CEB352E"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Number (person)</w:t>
            </w:r>
          </w:p>
        </w:tc>
        <w:tc>
          <w:tcPr>
            <w:tcW w:w="2196" w:type="dxa"/>
            <w:tcBorders>
              <w:top w:val="single" w:sz="4" w:space="0" w:color="000000"/>
              <w:left w:val="single" w:sz="4" w:space="0" w:color="000000"/>
            </w:tcBorders>
            <w:shd w:val="clear" w:color="auto" w:fill="FFFFFF"/>
            <w:tcMar>
              <w:top w:w="0" w:type="dxa"/>
              <w:bottom w:w="0" w:type="dxa"/>
            </w:tcMar>
            <w:vAlign w:val="bottom"/>
          </w:tcPr>
          <w:p w14:paraId="2663F6B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 (VND)</w:t>
            </w:r>
          </w:p>
        </w:tc>
        <w:tc>
          <w:tcPr>
            <w:tcW w:w="252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3FC652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Plan 2024 </w:t>
            </w:r>
          </w:p>
          <w:p w14:paraId="64C17C7B"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r>
      <w:tr w:rsidR="00456F37" w14:paraId="55CD6BCB" w14:textId="77777777">
        <w:trPr>
          <w:trHeight w:val="384"/>
        </w:trPr>
        <w:tc>
          <w:tcPr>
            <w:tcW w:w="679" w:type="dxa"/>
            <w:tcBorders>
              <w:top w:val="single" w:sz="4" w:space="0" w:color="000000"/>
              <w:left w:val="single" w:sz="4" w:space="0" w:color="000000"/>
            </w:tcBorders>
            <w:shd w:val="clear" w:color="auto" w:fill="FFFFFF"/>
            <w:tcMar>
              <w:top w:w="0" w:type="dxa"/>
              <w:bottom w:w="0" w:type="dxa"/>
            </w:tcMar>
            <w:vAlign w:val="bottom"/>
          </w:tcPr>
          <w:p w14:paraId="15C6664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w:t>
            </w:r>
          </w:p>
        </w:tc>
        <w:tc>
          <w:tcPr>
            <w:tcW w:w="2400" w:type="dxa"/>
            <w:tcBorders>
              <w:top w:val="single" w:sz="4" w:space="0" w:color="000000"/>
              <w:left w:val="single" w:sz="4" w:space="0" w:color="000000"/>
            </w:tcBorders>
            <w:shd w:val="clear" w:color="auto" w:fill="FFFFFF"/>
            <w:tcMar>
              <w:top w:w="0" w:type="dxa"/>
              <w:bottom w:w="0" w:type="dxa"/>
            </w:tcMar>
            <w:vAlign w:val="bottom"/>
          </w:tcPr>
          <w:p w14:paraId="774E3FA7"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The Board of Directors</w:t>
            </w:r>
          </w:p>
        </w:tc>
        <w:tc>
          <w:tcPr>
            <w:tcW w:w="1215" w:type="dxa"/>
            <w:tcBorders>
              <w:top w:val="single" w:sz="4" w:space="0" w:color="000000"/>
              <w:left w:val="single" w:sz="4" w:space="0" w:color="000000"/>
            </w:tcBorders>
            <w:shd w:val="clear" w:color="auto" w:fill="FFFFFF"/>
            <w:tcMar>
              <w:top w:w="0" w:type="dxa"/>
              <w:bottom w:w="0" w:type="dxa"/>
            </w:tcMar>
            <w:vAlign w:val="bottom"/>
          </w:tcPr>
          <w:p w14:paraId="0FECDAAA"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05</w:t>
            </w:r>
          </w:p>
        </w:tc>
        <w:tc>
          <w:tcPr>
            <w:tcW w:w="2196" w:type="dxa"/>
            <w:tcBorders>
              <w:top w:val="single" w:sz="4" w:space="0" w:color="000000"/>
              <w:left w:val="single" w:sz="4" w:space="0" w:color="000000"/>
            </w:tcBorders>
            <w:shd w:val="clear" w:color="auto" w:fill="FFFFFF"/>
            <w:tcMar>
              <w:top w:w="0" w:type="dxa"/>
              <w:bottom w:w="0" w:type="dxa"/>
            </w:tcMar>
            <w:vAlign w:val="bottom"/>
          </w:tcPr>
          <w:p w14:paraId="0C8D5BF1"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2,381</w:t>
            </w:r>
          </w:p>
        </w:tc>
        <w:tc>
          <w:tcPr>
            <w:tcW w:w="252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60CD829"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2,112</w:t>
            </w:r>
          </w:p>
        </w:tc>
      </w:tr>
      <w:tr w:rsidR="00456F37" w14:paraId="4B32CA0E" w14:textId="77777777">
        <w:trPr>
          <w:trHeight w:val="413"/>
        </w:trPr>
        <w:tc>
          <w:tcPr>
            <w:tcW w:w="679" w:type="dxa"/>
            <w:tcBorders>
              <w:top w:val="single" w:sz="4" w:space="0" w:color="000000"/>
              <w:left w:val="single" w:sz="4" w:space="0" w:color="000000"/>
            </w:tcBorders>
            <w:shd w:val="clear" w:color="auto" w:fill="FFFFFF"/>
            <w:tcMar>
              <w:top w:w="0" w:type="dxa"/>
              <w:bottom w:w="0" w:type="dxa"/>
            </w:tcMar>
            <w:vAlign w:val="bottom"/>
          </w:tcPr>
          <w:p w14:paraId="44AD2EDA"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w:t>
            </w:r>
          </w:p>
        </w:tc>
        <w:tc>
          <w:tcPr>
            <w:tcW w:w="2400" w:type="dxa"/>
            <w:tcBorders>
              <w:top w:val="single" w:sz="4" w:space="0" w:color="000000"/>
              <w:left w:val="single" w:sz="4" w:space="0" w:color="000000"/>
            </w:tcBorders>
            <w:shd w:val="clear" w:color="auto" w:fill="FFFFFF"/>
            <w:tcMar>
              <w:top w:w="0" w:type="dxa"/>
              <w:bottom w:w="0" w:type="dxa"/>
            </w:tcMar>
            <w:vAlign w:val="bottom"/>
          </w:tcPr>
          <w:p w14:paraId="42EB2E72"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The Supervisory Board</w:t>
            </w:r>
          </w:p>
        </w:tc>
        <w:tc>
          <w:tcPr>
            <w:tcW w:w="1215" w:type="dxa"/>
            <w:tcBorders>
              <w:top w:val="single" w:sz="4" w:space="0" w:color="000000"/>
              <w:left w:val="single" w:sz="4" w:space="0" w:color="000000"/>
            </w:tcBorders>
            <w:shd w:val="clear" w:color="auto" w:fill="FFFFFF"/>
            <w:tcMar>
              <w:top w:w="0" w:type="dxa"/>
              <w:bottom w:w="0" w:type="dxa"/>
            </w:tcMar>
            <w:vAlign w:val="bottom"/>
          </w:tcPr>
          <w:p w14:paraId="5361AFAB"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03</w:t>
            </w:r>
          </w:p>
        </w:tc>
        <w:tc>
          <w:tcPr>
            <w:tcW w:w="2196" w:type="dxa"/>
            <w:tcBorders>
              <w:top w:val="single" w:sz="4" w:space="0" w:color="000000"/>
              <w:left w:val="single" w:sz="4" w:space="0" w:color="000000"/>
            </w:tcBorders>
            <w:shd w:val="clear" w:color="auto" w:fill="FFFFFF"/>
            <w:tcMar>
              <w:top w:w="0" w:type="dxa"/>
              <w:bottom w:w="0" w:type="dxa"/>
            </w:tcMar>
            <w:vAlign w:val="bottom"/>
          </w:tcPr>
          <w:p w14:paraId="659D0E4F"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434</w:t>
            </w:r>
          </w:p>
        </w:tc>
        <w:tc>
          <w:tcPr>
            <w:tcW w:w="252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53AC8B6"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370</w:t>
            </w:r>
          </w:p>
        </w:tc>
      </w:tr>
      <w:tr w:rsidR="00456F37" w14:paraId="5E19F3B3" w14:textId="77777777">
        <w:trPr>
          <w:trHeight w:val="403"/>
        </w:trPr>
        <w:tc>
          <w:tcPr>
            <w:tcW w:w="679" w:type="dxa"/>
            <w:tcBorders>
              <w:top w:val="single" w:sz="4" w:space="0" w:color="000000"/>
              <w:left w:val="single" w:sz="4" w:space="0" w:color="000000"/>
              <w:bottom w:val="single" w:sz="4" w:space="0" w:color="000000"/>
            </w:tcBorders>
            <w:shd w:val="clear" w:color="auto" w:fill="FFFFFF"/>
            <w:tcMar>
              <w:top w:w="0" w:type="dxa"/>
              <w:bottom w:w="0" w:type="dxa"/>
            </w:tcMar>
          </w:tcPr>
          <w:p w14:paraId="767E500D" w14:textId="77777777" w:rsidR="00456F37" w:rsidRDefault="00456F37">
            <w:pPr>
              <w:spacing w:after="120" w:line="360" w:lineRule="auto"/>
              <w:jc w:val="center"/>
              <w:rPr>
                <w:rFonts w:ascii="Arial" w:eastAsia="Arial" w:hAnsi="Arial" w:cs="Arial"/>
                <w:sz w:val="20"/>
                <w:szCs w:val="20"/>
              </w:rPr>
            </w:pPr>
          </w:p>
        </w:tc>
        <w:tc>
          <w:tcPr>
            <w:tcW w:w="240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6D2022C"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w:t>
            </w:r>
          </w:p>
        </w:tc>
        <w:tc>
          <w:tcPr>
            <w:tcW w:w="121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1AA5124"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w:t>
            </w:r>
          </w:p>
        </w:tc>
        <w:tc>
          <w:tcPr>
            <w:tcW w:w="219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DF78EEC"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2,815</w:t>
            </w:r>
          </w:p>
        </w:tc>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D32BA18" w14:textId="77777777" w:rsidR="00456F37" w:rsidRDefault="00803A31">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2,482</w:t>
            </w:r>
          </w:p>
        </w:tc>
      </w:tr>
    </w:tbl>
    <w:p w14:paraId="24A6F0B9"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Based on the production and business results in 2024, the Company will consider allocating the actual salary and remuneration fund in 2024 to increase or decrease in proportion to the actual profit portion, but the increase shall not exceed 20% and the decrease shall not exceed 40% of the plan;</w:t>
      </w:r>
    </w:p>
    <w:p w14:paraId="336DA2C1"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Other rights of the Board of Directors and the Supervisory Board are in accordance with the provisions of the Law, the Company's Charter and Regulations.</w:t>
      </w:r>
    </w:p>
    <w:p w14:paraId="10098CC6"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Proposal on approving the list of audit companies for FUTU1's Financial Statements 2024 in Proposal No. 03/</w:t>
      </w:r>
      <w:proofErr w:type="spellStart"/>
      <w:r>
        <w:rPr>
          <w:rFonts w:ascii="Arial" w:hAnsi="Arial"/>
          <w:sz w:val="20"/>
        </w:rPr>
        <w:t>TTr</w:t>
      </w:r>
      <w:proofErr w:type="spellEnd"/>
      <w:r>
        <w:rPr>
          <w:rFonts w:ascii="Arial" w:hAnsi="Arial"/>
          <w:sz w:val="20"/>
        </w:rPr>
        <w:t>-BKS.</w:t>
      </w:r>
    </w:p>
    <w:p w14:paraId="596A466B" w14:textId="77777777" w:rsidR="00456F37" w:rsidRDefault="00803A31" w:rsidP="00805841">
      <w:pPr>
        <w:numPr>
          <w:ilvl w:val="0"/>
          <w:numId w:val="6"/>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authorizes the Supervisory Board to decide on selecting an independent audit company from the list proposed by the Supervisory Board, in accordance with the provisions of the Law, and assigns the Manager of the Company to sign a contract for providing independent auditing services with the selected audit company to audit FUTU1's Financial Statements 2024. The selected audit companies include:</w:t>
      </w:r>
    </w:p>
    <w:p w14:paraId="5D1C6371"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Vietnam Auditing and Evaluation Co., Ltd. (VAE)</w:t>
      </w:r>
    </w:p>
    <w:p w14:paraId="251FC776"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BDO Auditing Company Limited (BDO);</w:t>
      </w:r>
    </w:p>
    <w:p w14:paraId="4F33B270"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AASC Auditing Firm Company Limited;</w:t>
      </w:r>
    </w:p>
    <w:p w14:paraId="0D5151DA" w14:textId="77777777" w:rsidR="00456F37" w:rsidRDefault="00803A31" w:rsidP="00805841">
      <w:pPr>
        <w:numPr>
          <w:ilvl w:val="0"/>
          <w:numId w:val="6"/>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criteria for selecting an independent audit company are stated in Proposal 03/</w:t>
      </w:r>
      <w:proofErr w:type="spellStart"/>
      <w:r>
        <w:rPr>
          <w:rFonts w:ascii="Arial" w:hAnsi="Arial"/>
          <w:sz w:val="20"/>
        </w:rPr>
        <w:t>TTr</w:t>
      </w:r>
      <w:proofErr w:type="spellEnd"/>
      <w:r>
        <w:rPr>
          <w:rFonts w:ascii="Arial" w:hAnsi="Arial"/>
          <w:sz w:val="20"/>
        </w:rPr>
        <w:t>-BKS presented at the Annual General Meeting of Shareholders 2024.</w:t>
      </w:r>
    </w:p>
    <w:p w14:paraId="03BDBF89"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8. Approve the Proposal on approving the number of members to be elected to the Board of </w:t>
      </w:r>
      <w:r>
        <w:rPr>
          <w:rFonts w:ascii="Arial" w:hAnsi="Arial"/>
          <w:sz w:val="20"/>
        </w:rPr>
        <w:lastRenderedPageBreak/>
        <w:t>Directors and the Supervisory Board for the term 2024-2029.</w:t>
      </w:r>
    </w:p>
    <w:p w14:paraId="2169AC1C"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the Proposal on nominating candidates for the Board of Directors for the term 2024-2029.</w:t>
      </w:r>
    </w:p>
    <w:p w14:paraId="6DFC70A1"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Approve the Proposal on nominating candidates for the Supervisory Board for the term 2024-2029.</w:t>
      </w:r>
    </w:p>
    <w:p w14:paraId="0879D51D"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Approve the List of members of the Board of Directors and members of the Supervisory Board for the term 2024-2029.</w:t>
      </w:r>
    </w:p>
    <w:p w14:paraId="44F1807E"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list of gentlemen/ladies elected as members of FUTU1's Board of Directors for the term 2024-2029 is as follows:</w:t>
      </w:r>
    </w:p>
    <w:p w14:paraId="7FDB3C22" w14:textId="77777777" w:rsidR="00456F37" w:rsidRDefault="00803A31" w:rsidP="00805841">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Mr. Ngo Van Thai</w:t>
      </w:r>
    </w:p>
    <w:p w14:paraId="189EE6CE" w14:textId="77777777" w:rsidR="00456F37" w:rsidRDefault="00803A31" w:rsidP="00805841">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Mr. Tran Duc Hung</w:t>
      </w:r>
    </w:p>
    <w:p w14:paraId="23092974" w14:textId="77777777" w:rsidR="00456F37" w:rsidRDefault="00803A31" w:rsidP="00805841">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Nguyen Duc Dung</w:t>
      </w:r>
    </w:p>
    <w:p w14:paraId="31881EF5" w14:textId="77777777" w:rsidR="00456F37" w:rsidRDefault="00803A31" w:rsidP="00805841">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Mr. Vu Duy </w:t>
      </w:r>
      <w:proofErr w:type="spellStart"/>
      <w:r>
        <w:rPr>
          <w:rFonts w:ascii="Arial" w:hAnsi="Arial"/>
          <w:sz w:val="20"/>
        </w:rPr>
        <w:t>Hai</w:t>
      </w:r>
      <w:proofErr w:type="spellEnd"/>
    </w:p>
    <w:p w14:paraId="4E187259" w14:textId="77777777" w:rsidR="00456F37" w:rsidRDefault="00803A31" w:rsidP="00805841">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Mr. Ho Ngoc Vinh</w:t>
      </w:r>
    </w:p>
    <w:p w14:paraId="1AE795E7" w14:textId="77777777" w:rsidR="00456F37" w:rsidRDefault="00803A31" w:rsidP="00805841">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list of gentlemen/ladies elected to FUTU1's Supervisory Board for the term 2024-2029 is as follows:</w:t>
      </w:r>
    </w:p>
    <w:p w14:paraId="416E8307" w14:textId="77777777" w:rsidR="00456F37" w:rsidRDefault="00803A31" w:rsidP="00805841">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Ms. Dong Thi Thanh </w:t>
      </w:r>
      <w:proofErr w:type="spellStart"/>
      <w:r>
        <w:rPr>
          <w:rFonts w:ascii="Arial" w:hAnsi="Arial"/>
          <w:sz w:val="20"/>
        </w:rPr>
        <w:t>Ngan</w:t>
      </w:r>
      <w:proofErr w:type="spellEnd"/>
    </w:p>
    <w:p w14:paraId="47A581A7" w14:textId="77777777" w:rsidR="00456F37" w:rsidRDefault="00803A31" w:rsidP="00805841">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Mr. Bui Tuan Anh</w:t>
      </w:r>
    </w:p>
    <w:p w14:paraId="336BC2E7" w14:textId="77777777" w:rsidR="00456F37" w:rsidRDefault="00803A31" w:rsidP="00805841">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 Ms. Nguyen Thi Thanh Binh</w:t>
      </w:r>
    </w:p>
    <w:p w14:paraId="4820EC96" w14:textId="77777777" w:rsidR="00456F37" w:rsidRDefault="00803A31" w:rsidP="00805841">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12. Terms of enforcement</w:t>
      </w:r>
    </w:p>
    <w:p w14:paraId="32211A13" w14:textId="77777777" w:rsidR="00456F37" w:rsidRDefault="00803A31" w:rsidP="00805841">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assigns the Board of Directors, the Supervisory Board and the Director of the Company to be responsible for implementing this General Mandate.</w:t>
      </w:r>
    </w:p>
    <w:p w14:paraId="7305E665" w14:textId="011E2D69" w:rsidR="00456F37" w:rsidRDefault="00803A31" w:rsidP="00805841">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was unanimously approved by the Annual General Meeting of Shareholders 2024 and takes effect from the end of the Meeting.</w:t>
      </w:r>
      <w:r>
        <w:rPr>
          <w:rFonts w:ascii="Arial" w:eastAsia="Arial" w:hAnsi="Arial" w:cs="Arial"/>
          <w:sz w:val="20"/>
          <w:szCs w:val="20"/>
        </w:rPr>
        <w:t xml:space="preserve"> </w:t>
      </w:r>
    </w:p>
    <w:sectPr w:rsidR="00456F37">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5D9"/>
    <w:multiLevelType w:val="multilevel"/>
    <w:tmpl w:val="921E0D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C282C"/>
    <w:multiLevelType w:val="multilevel"/>
    <w:tmpl w:val="9A52D7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243923"/>
    <w:multiLevelType w:val="multilevel"/>
    <w:tmpl w:val="5844B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111256"/>
    <w:multiLevelType w:val="multilevel"/>
    <w:tmpl w:val="348EB8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2A47438"/>
    <w:multiLevelType w:val="multilevel"/>
    <w:tmpl w:val="C4B4CE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1D47CB"/>
    <w:multiLevelType w:val="multilevel"/>
    <w:tmpl w:val="E042D9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7"/>
    <w:rsid w:val="00456F37"/>
    <w:rsid w:val="00803A31"/>
    <w:rsid w:val="00805841"/>
    <w:rsid w:val="008E7070"/>
    <w:rsid w:val="00F3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2"/>
      <w:szCs w:val="12"/>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ind w:left="318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86" w:lineRule="auto"/>
      <w:ind w:firstLine="560"/>
    </w:pPr>
    <w:rPr>
      <w:rFonts w:ascii="Times New Roman" w:eastAsia="Times New Roman" w:hAnsi="Times New Roman" w:cs="Times New Roman"/>
      <w:sz w:val="22"/>
      <w:szCs w:val="22"/>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66" w:lineRule="auto"/>
      <w:ind w:firstLine="54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b/>
      <w:bCs/>
      <w:i/>
      <w:i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2"/>
      <w:szCs w:val="12"/>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ind w:left="318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86" w:lineRule="auto"/>
      <w:ind w:firstLine="560"/>
    </w:pPr>
    <w:rPr>
      <w:rFonts w:ascii="Times New Roman" w:eastAsia="Times New Roman" w:hAnsi="Times New Roman" w:cs="Times New Roman"/>
      <w:sz w:val="22"/>
      <w:szCs w:val="22"/>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66" w:lineRule="auto"/>
      <w:ind w:firstLine="54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b/>
      <w:bCs/>
      <w:i/>
      <w:i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ul2nAPOE3HcD7l9C64SqaT0WDg==">CgMxLjA4AHIhMW5ZTUp5VDVwTU9xMjBOMDIyOXF1SWxEYkptdVYyRzNs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2024-05-04T08:01:00Z</dcterms:created>
  <dcterms:modified xsi:type="dcterms:W3CDTF">2024-05-06T05:01:00Z</dcterms:modified>
</cp:coreProperties>
</file>