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C2E3"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bCs/>
          <w:sz w:val="20"/>
        </w:rPr>
        <w:t>L14:</w:t>
      </w:r>
      <w:r>
        <w:rPr>
          <w:rFonts w:ascii="Arial" w:hAnsi="Arial"/>
          <w:b/>
          <w:sz w:val="20"/>
        </w:rPr>
        <w:t xml:space="preserve"> Annual General Mandate 2024</w:t>
      </w:r>
    </w:p>
    <w:p w14:paraId="26FA4832"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26, 2024, </w:t>
      </w:r>
      <w:proofErr w:type="spellStart"/>
      <w:r>
        <w:rPr>
          <w:rFonts w:ascii="Arial" w:hAnsi="Arial"/>
          <w:sz w:val="20"/>
        </w:rPr>
        <w:t>Licogi</w:t>
      </w:r>
      <w:proofErr w:type="spellEnd"/>
      <w:r>
        <w:rPr>
          <w:rFonts w:ascii="Arial" w:hAnsi="Arial"/>
          <w:sz w:val="20"/>
        </w:rPr>
        <w:t xml:space="preserve"> 14 JSC announced General Mandate No. 02/2024/NQ-DHDCD as follows:</w:t>
      </w:r>
    </w:p>
    <w:p w14:paraId="6AB075D0"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entire contents of the Minutes of the Annual General Meeting of Shareholders in 2024 dated April 26, 2024.</w:t>
      </w:r>
    </w:p>
    <w:p w14:paraId="0EA489A0"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Content 01. Approve the Report of the Board of Directors and the Board of Management on the results of production and business activities in 2023 and the objectives and plans for production and business in 2024.</w:t>
      </w:r>
    </w:p>
    <w:p w14:paraId="59408987" w14:textId="77777777" w:rsidR="00334F1D" w:rsidRDefault="002E246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Results 2023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250"/>
        <w:gridCol w:w="1050"/>
        <w:gridCol w:w="1320"/>
        <w:gridCol w:w="1470"/>
        <w:gridCol w:w="1350"/>
        <w:gridCol w:w="1440"/>
      </w:tblGrid>
      <w:tr w:rsidR="00334F1D" w14:paraId="3F53CC82" w14:textId="77777777">
        <w:trPr>
          <w:trHeight w:val="73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8E80C" w14:textId="77777777" w:rsidR="00334F1D" w:rsidRDefault="002E2462">
            <w:pPr>
              <w:spacing w:before="240" w:after="120" w:line="360" w:lineRule="auto"/>
              <w:rPr>
                <w:rFonts w:ascii="Arial" w:eastAsia="Arial" w:hAnsi="Arial" w:cs="Arial"/>
                <w:sz w:val="20"/>
                <w:szCs w:val="20"/>
              </w:rPr>
            </w:pPr>
            <w:r>
              <w:rPr>
                <w:rFonts w:ascii="Arial" w:hAnsi="Arial"/>
                <w:sz w:val="20"/>
              </w:rPr>
              <w:t>Targets</w:t>
            </w:r>
          </w:p>
        </w:tc>
        <w:tc>
          <w:tcPr>
            <w:tcW w:w="105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11ACC55" w14:textId="77777777" w:rsidR="00334F1D" w:rsidRDefault="002E2462">
            <w:pPr>
              <w:spacing w:before="240" w:after="120" w:line="360" w:lineRule="auto"/>
              <w:rPr>
                <w:rFonts w:ascii="Arial" w:eastAsia="Arial" w:hAnsi="Arial" w:cs="Arial"/>
                <w:sz w:val="20"/>
                <w:szCs w:val="20"/>
              </w:rPr>
            </w:pPr>
            <w:r>
              <w:rPr>
                <w:rFonts w:ascii="Arial" w:hAnsi="Arial"/>
                <w:sz w:val="20"/>
              </w:rPr>
              <w:t>Unit</w:t>
            </w:r>
          </w:p>
        </w:tc>
        <w:tc>
          <w:tcPr>
            <w:tcW w:w="132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C1DA6A8" w14:textId="77777777" w:rsidR="00334F1D" w:rsidRDefault="002E2462">
            <w:pPr>
              <w:spacing w:before="240" w:after="120" w:line="360" w:lineRule="auto"/>
              <w:rPr>
                <w:rFonts w:ascii="Arial" w:eastAsia="Arial" w:hAnsi="Arial" w:cs="Arial"/>
                <w:sz w:val="20"/>
                <w:szCs w:val="20"/>
              </w:rPr>
            </w:pPr>
            <w:r>
              <w:rPr>
                <w:rFonts w:ascii="Arial" w:hAnsi="Arial"/>
                <w:sz w:val="20"/>
              </w:rPr>
              <w:t>Plan 2023</w:t>
            </w:r>
          </w:p>
        </w:tc>
        <w:tc>
          <w:tcPr>
            <w:tcW w:w="147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688F4356" w14:textId="77777777" w:rsidR="00334F1D" w:rsidRDefault="002E2462">
            <w:pPr>
              <w:spacing w:before="240" w:after="120" w:line="360" w:lineRule="auto"/>
              <w:rPr>
                <w:rFonts w:ascii="Arial" w:eastAsia="Arial" w:hAnsi="Arial" w:cs="Arial"/>
                <w:sz w:val="20"/>
                <w:szCs w:val="20"/>
              </w:rPr>
            </w:pPr>
            <w:r>
              <w:rPr>
                <w:rFonts w:ascii="Arial" w:hAnsi="Arial"/>
                <w:sz w:val="20"/>
              </w:rPr>
              <w:t>Adjusted Plan 2023</w:t>
            </w: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B171EF2" w14:textId="77777777" w:rsidR="00334F1D" w:rsidRDefault="002E2462">
            <w:pPr>
              <w:spacing w:before="240" w:after="120" w:line="360" w:lineRule="auto"/>
              <w:rPr>
                <w:rFonts w:ascii="Arial" w:eastAsia="Arial" w:hAnsi="Arial" w:cs="Arial"/>
                <w:sz w:val="20"/>
                <w:szCs w:val="20"/>
              </w:rPr>
            </w:pPr>
            <w:r>
              <w:rPr>
                <w:rFonts w:ascii="Arial" w:hAnsi="Arial"/>
                <w:sz w:val="20"/>
              </w:rPr>
              <w:t xml:space="preserve">Results 2023 </w:t>
            </w:r>
          </w:p>
        </w:tc>
        <w:tc>
          <w:tcPr>
            <w:tcW w:w="144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10B088D" w14:textId="77777777" w:rsidR="00334F1D" w:rsidRDefault="002E2462">
            <w:pPr>
              <w:spacing w:before="240" w:after="120" w:line="360" w:lineRule="auto"/>
              <w:rPr>
                <w:rFonts w:ascii="Arial" w:eastAsia="Arial" w:hAnsi="Arial" w:cs="Arial"/>
                <w:sz w:val="20"/>
                <w:szCs w:val="20"/>
              </w:rPr>
            </w:pPr>
            <w:r>
              <w:rPr>
                <w:rFonts w:ascii="Arial" w:hAnsi="Arial"/>
                <w:sz w:val="20"/>
              </w:rPr>
              <w:t>Completion rate (%)</w:t>
            </w:r>
          </w:p>
        </w:tc>
      </w:tr>
      <w:tr w:rsidR="00334F1D" w14:paraId="45756BDD" w14:textId="77777777">
        <w:trPr>
          <w:trHeight w:val="435"/>
        </w:trPr>
        <w:tc>
          <w:tcPr>
            <w:tcW w:w="225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CD9756A" w14:textId="77777777" w:rsidR="00334F1D" w:rsidRDefault="002E2462">
            <w:pPr>
              <w:spacing w:before="240" w:after="120" w:line="360" w:lineRule="auto"/>
              <w:rPr>
                <w:rFonts w:ascii="Arial" w:eastAsia="Arial" w:hAnsi="Arial" w:cs="Arial"/>
                <w:sz w:val="20"/>
                <w:szCs w:val="20"/>
              </w:rPr>
            </w:pPr>
            <w:r>
              <w:rPr>
                <w:rFonts w:ascii="Arial" w:hAnsi="Arial"/>
                <w:sz w:val="20"/>
              </w:rPr>
              <w:t>Total revenue:</w:t>
            </w:r>
          </w:p>
        </w:tc>
        <w:tc>
          <w:tcPr>
            <w:tcW w:w="1050" w:type="dxa"/>
            <w:tcBorders>
              <w:top w:val="nil"/>
              <w:left w:val="nil"/>
              <w:bottom w:val="single" w:sz="6" w:space="0" w:color="000000"/>
              <w:right w:val="single" w:sz="6" w:space="0" w:color="000000"/>
            </w:tcBorders>
            <w:tcMar>
              <w:top w:w="0" w:type="dxa"/>
              <w:left w:w="0" w:type="dxa"/>
              <w:bottom w:w="0" w:type="dxa"/>
              <w:right w:w="0" w:type="dxa"/>
            </w:tcMar>
          </w:tcPr>
          <w:p w14:paraId="0D7A235A"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1320" w:type="dxa"/>
            <w:tcBorders>
              <w:top w:val="nil"/>
              <w:left w:val="nil"/>
              <w:bottom w:val="single" w:sz="6" w:space="0" w:color="000000"/>
              <w:right w:val="single" w:sz="6" w:space="0" w:color="000000"/>
            </w:tcBorders>
            <w:tcMar>
              <w:top w:w="0" w:type="dxa"/>
              <w:left w:w="0" w:type="dxa"/>
              <w:bottom w:w="0" w:type="dxa"/>
              <w:right w:w="0" w:type="dxa"/>
            </w:tcMar>
          </w:tcPr>
          <w:p w14:paraId="21AADDE2" w14:textId="77777777" w:rsidR="00334F1D" w:rsidRDefault="002E2462">
            <w:pPr>
              <w:spacing w:before="240" w:after="120" w:line="360" w:lineRule="auto"/>
              <w:rPr>
                <w:rFonts w:ascii="Arial" w:eastAsia="Arial" w:hAnsi="Arial" w:cs="Arial"/>
                <w:sz w:val="20"/>
                <w:szCs w:val="20"/>
              </w:rPr>
            </w:pPr>
            <w:r>
              <w:rPr>
                <w:rFonts w:ascii="Arial" w:hAnsi="Arial"/>
                <w:sz w:val="20"/>
              </w:rPr>
              <w:t>195</w:t>
            </w:r>
          </w:p>
        </w:tc>
        <w:tc>
          <w:tcPr>
            <w:tcW w:w="1470" w:type="dxa"/>
            <w:tcBorders>
              <w:top w:val="nil"/>
              <w:left w:val="nil"/>
              <w:bottom w:val="single" w:sz="6" w:space="0" w:color="000000"/>
              <w:right w:val="single" w:sz="6" w:space="0" w:color="000000"/>
            </w:tcBorders>
            <w:tcMar>
              <w:top w:w="0" w:type="dxa"/>
              <w:left w:w="0" w:type="dxa"/>
              <w:bottom w:w="0" w:type="dxa"/>
              <w:right w:w="0" w:type="dxa"/>
            </w:tcMar>
          </w:tcPr>
          <w:p w14:paraId="330EE4B2" w14:textId="77777777" w:rsidR="00334F1D" w:rsidRDefault="002E2462">
            <w:pPr>
              <w:spacing w:before="240" w:after="120" w:line="360" w:lineRule="auto"/>
              <w:rPr>
                <w:rFonts w:ascii="Arial" w:eastAsia="Arial" w:hAnsi="Arial" w:cs="Arial"/>
                <w:sz w:val="20"/>
                <w:szCs w:val="20"/>
              </w:rPr>
            </w:pPr>
            <w:r>
              <w:rPr>
                <w:rFonts w:ascii="Arial" w:hAnsi="Arial"/>
                <w:sz w:val="20"/>
              </w:rPr>
              <w:t>156</w:t>
            </w:r>
          </w:p>
        </w:tc>
        <w:tc>
          <w:tcPr>
            <w:tcW w:w="1350" w:type="dxa"/>
            <w:tcBorders>
              <w:top w:val="nil"/>
              <w:left w:val="nil"/>
              <w:bottom w:val="single" w:sz="6" w:space="0" w:color="000000"/>
              <w:right w:val="single" w:sz="6" w:space="0" w:color="000000"/>
            </w:tcBorders>
            <w:tcMar>
              <w:top w:w="0" w:type="dxa"/>
              <w:left w:w="0" w:type="dxa"/>
              <w:bottom w:w="0" w:type="dxa"/>
              <w:right w:w="0" w:type="dxa"/>
            </w:tcMar>
          </w:tcPr>
          <w:p w14:paraId="5D683FFA" w14:textId="77777777" w:rsidR="00334F1D" w:rsidRDefault="002E2462">
            <w:pPr>
              <w:spacing w:before="240" w:after="120" w:line="360" w:lineRule="auto"/>
              <w:rPr>
                <w:rFonts w:ascii="Arial" w:eastAsia="Arial" w:hAnsi="Arial" w:cs="Arial"/>
                <w:sz w:val="20"/>
                <w:szCs w:val="20"/>
              </w:rPr>
            </w:pPr>
            <w:r>
              <w:rPr>
                <w:rFonts w:ascii="Arial" w:hAnsi="Arial"/>
                <w:sz w:val="20"/>
              </w:rPr>
              <w:t>166.392</w:t>
            </w:r>
          </w:p>
        </w:tc>
        <w:tc>
          <w:tcPr>
            <w:tcW w:w="1440" w:type="dxa"/>
            <w:tcBorders>
              <w:top w:val="nil"/>
              <w:left w:val="nil"/>
              <w:bottom w:val="single" w:sz="6" w:space="0" w:color="000000"/>
              <w:right w:val="single" w:sz="6" w:space="0" w:color="000000"/>
            </w:tcBorders>
            <w:tcMar>
              <w:top w:w="0" w:type="dxa"/>
              <w:left w:w="0" w:type="dxa"/>
              <w:bottom w:w="0" w:type="dxa"/>
              <w:right w:w="0" w:type="dxa"/>
            </w:tcMar>
          </w:tcPr>
          <w:p w14:paraId="036B4652" w14:textId="77777777" w:rsidR="00334F1D" w:rsidRDefault="002E2462">
            <w:pPr>
              <w:spacing w:before="240" w:after="120" w:line="360" w:lineRule="auto"/>
              <w:rPr>
                <w:rFonts w:ascii="Arial" w:eastAsia="Arial" w:hAnsi="Arial" w:cs="Arial"/>
                <w:sz w:val="20"/>
                <w:szCs w:val="20"/>
              </w:rPr>
            </w:pPr>
            <w:r>
              <w:rPr>
                <w:rFonts w:ascii="Arial" w:hAnsi="Arial"/>
                <w:sz w:val="20"/>
              </w:rPr>
              <w:t>106.66</w:t>
            </w:r>
          </w:p>
        </w:tc>
      </w:tr>
      <w:tr w:rsidR="00334F1D" w14:paraId="27295D5F" w14:textId="77777777">
        <w:trPr>
          <w:trHeight w:val="435"/>
        </w:trPr>
        <w:tc>
          <w:tcPr>
            <w:tcW w:w="225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4B7E057" w14:textId="77777777" w:rsidR="00334F1D" w:rsidRDefault="002E2462">
            <w:pPr>
              <w:spacing w:before="240" w:after="120" w:line="360" w:lineRule="auto"/>
              <w:rPr>
                <w:rFonts w:ascii="Arial" w:eastAsia="Arial" w:hAnsi="Arial" w:cs="Arial"/>
                <w:sz w:val="20"/>
                <w:szCs w:val="20"/>
              </w:rPr>
            </w:pPr>
            <w:r>
              <w:rPr>
                <w:rFonts w:ascii="Arial" w:hAnsi="Arial"/>
                <w:sz w:val="20"/>
              </w:rPr>
              <w:t>Profit after tax</w:t>
            </w:r>
          </w:p>
        </w:tc>
        <w:tc>
          <w:tcPr>
            <w:tcW w:w="1050" w:type="dxa"/>
            <w:tcBorders>
              <w:top w:val="nil"/>
              <w:left w:val="nil"/>
              <w:bottom w:val="single" w:sz="6" w:space="0" w:color="000000"/>
              <w:right w:val="single" w:sz="6" w:space="0" w:color="000000"/>
            </w:tcBorders>
            <w:tcMar>
              <w:top w:w="0" w:type="dxa"/>
              <w:left w:w="0" w:type="dxa"/>
              <w:bottom w:w="0" w:type="dxa"/>
              <w:right w:w="0" w:type="dxa"/>
            </w:tcMar>
          </w:tcPr>
          <w:p w14:paraId="5D264863"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1320" w:type="dxa"/>
            <w:tcBorders>
              <w:top w:val="nil"/>
              <w:left w:val="nil"/>
              <w:bottom w:val="single" w:sz="6" w:space="0" w:color="000000"/>
              <w:right w:val="single" w:sz="6" w:space="0" w:color="000000"/>
            </w:tcBorders>
            <w:tcMar>
              <w:top w:w="0" w:type="dxa"/>
              <w:left w:w="0" w:type="dxa"/>
              <w:bottom w:w="0" w:type="dxa"/>
              <w:right w:w="0" w:type="dxa"/>
            </w:tcMar>
          </w:tcPr>
          <w:p w14:paraId="20B3F58D" w14:textId="77777777" w:rsidR="00334F1D" w:rsidRDefault="002E2462">
            <w:pPr>
              <w:spacing w:before="240" w:after="120" w:line="360" w:lineRule="auto"/>
              <w:rPr>
                <w:rFonts w:ascii="Arial" w:eastAsia="Arial" w:hAnsi="Arial" w:cs="Arial"/>
                <w:sz w:val="20"/>
                <w:szCs w:val="20"/>
              </w:rPr>
            </w:pPr>
            <w:r>
              <w:rPr>
                <w:rFonts w:ascii="Arial" w:hAnsi="Arial"/>
                <w:sz w:val="20"/>
              </w:rPr>
              <w:t>25</w:t>
            </w:r>
          </w:p>
        </w:tc>
        <w:tc>
          <w:tcPr>
            <w:tcW w:w="1470" w:type="dxa"/>
            <w:tcBorders>
              <w:top w:val="nil"/>
              <w:left w:val="nil"/>
              <w:bottom w:val="single" w:sz="6" w:space="0" w:color="000000"/>
              <w:right w:val="single" w:sz="6" w:space="0" w:color="000000"/>
            </w:tcBorders>
            <w:tcMar>
              <w:top w:w="0" w:type="dxa"/>
              <w:left w:w="0" w:type="dxa"/>
              <w:bottom w:w="0" w:type="dxa"/>
              <w:right w:w="0" w:type="dxa"/>
            </w:tcMar>
          </w:tcPr>
          <w:p w14:paraId="32DFF82B" w14:textId="77777777" w:rsidR="00334F1D" w:rsidRDefault="002E2462">
            <w:pPr>
              <w:spacing w:before="240" w:after="120" w:line="360" w:lineRule="auto"/>
              <w:rPr>
                <w:rFonts w:ascii="Arial" w:eastAsia="Arial" w:hAnsi="Arial" w:cs="Arial"/>
                <w:sz w:val="20"/>
                <w:szCs w:val="20"/>
              </w:rPr>
            </w:pPr>
            <w:r>
              <w:rPr>
                <w:rFonts w:ascii="Arial" w:hAnsi="Arial"/>
                <w:sz w:val="20"/>
              </w:rPr>
              <w:t>20</w:t>
            </w:r>
          </w:p>
        </w:tc>
        <w:tc>
          <w:tcPr>
            <w:tcW w:w="1350" w:type="dxa"/>
            <w:tcBorders>
              <w:top w:val="nil"/>
              <w:left w:val="nil"/>
              <w:bottom w:val="single" w:sz="6" w:space="0" w:color="000000"/>
              <w:right w:val="single" w:sz="6" w:space="0" w:color="000000"/>
            </w:tcBorders>
            <w:tcMar>
              <w:top w:w="0" w:type="dxa"/>
              <w:left w:w="0" w:type="dxa"/>
              <w:bottom w:w="0" w:type="dxa"/>
              <w:right w:w="0" w:type="dxa"/>
            </w:tcMar>
          </w:tcPr>
          <w:p w14:paraId="55404A35" w14:textId="77777777" w:rsidR="00334F1D" w:rsidRDefault="002E2462">
            <w:pPr>
              <w:spacing w:before="240" w:after="120" w:line="360" w:lineRule="auto"/>
              <w:rPr>
                <w:rFonts w:ascii="Arial" w:eastAsia="Arial" w:hAnsi="Arial" w:cs="Arial"/>
                <w:sz w:val="20"/>
                <w:szCs w:val="20"/>
              </w:rPr>
            </w:pPr>
            <w:r>
              <w:rPr>
                <w:rFonts w:ascii="Arial" w:hAnsi="Arial"/>
                <w:sz w:val="20"/>
              </w:rPr>
              <w:t>24.2</w:t>
            </w:r>
          </w:p>
        </w:tc>
        <w:tc>
          <w:tcPr>
            <w:tcW w:w="1440" w:type="dxa"/>
            <w:tcBorders>
              <w:top w:val="nil"/>
              <w:left w:val="nil"/>
              <w:bottom w:val="single" w:sz="6" w:space="0" w:color="000000"/>
              <w:right w:val="single" w:sz="6" w:space="0" w:color="000000"/>
            </w:tcBorders>
            <w:tcMar>
              <w:top w:w="0" w:type="dxa"/>
              <w:left w:w="0" w:type="dxa"/>
              <w:bottom w:w="0" w:type="dxa"/>
              <w:right w:w="0" w:type="dxa"/>
            </w:tcMar>
          </w:tcPr>
          <w:p w14:paraId="1E6BC320" w14:textId="77777777" w:rsidR="00334F1D" w:rsidRDefault="002E2462">
            <w:pPr>
              <w:spacing w:before="240" w:after="120" w:line="360" w:lineRule="auto"/>
              <w:rPr>
                <w:rFonts w:ascii="Arial" w:eastAsia="Arial" w:hAnsi="Arial" w:cs="Arial"/>
                <w:sz w:val="20"/>
                <w:szCs w:val="20"/>
              </w:rPr>
            </w:pPr>
            <w:r>
              <w:rPr>
                <w:rFonts w:ascii="Arial" w:hAnsi="Arial"/>
                <w:sz w:val="20"/>
              </w:rPr>
              <w:t>121</w:t>
            </w:r>
          </w:p>
        </w:tc>
      </w:tr>
      <w:tr w:rsidR="00334F1D" w14:paraId="071B57B1" w14:textId="77777777">
        <w:trPr>
          <w:trHeight w:val="435"/>
        </w:trPr>
        <w:tc>
          <w:tcPr>
            <w:tcW w:w="225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8EFC892" w14:textId="77777777" w:rsidR="00334F1D" w:rsidRDefault="002E2462">
            <w:pPr>
              <w:spacing w:before="240" w:after="120" w:line="360" w:lineRule="auto"/>
              <w:rPr>
                <w:rFonts w:ascii="Arial" w:eastAsia="Arial" w:hAnsi="Arial" w:cs="Arial"/>
                <w:sz w:val="20"/>
                <w:szCs w:val="20"/>
              </w:rPr>
            </w:pPr>
            <w:r>
              <w:rPr>
                <w:rFonts w:ascii="Arial" w:hAnsi="Arial"/>
                <w:sz w:val="20"/>
              </w:rPr>
              <w:t>Payables to State budget</w:t>
            </w:r>
          </w:p>
        </w:tc>
        <w:tc>
          <w:tcPr>
            <w:tcW w:w="1050" w:type="dxa"/>
            <w:tcBorders>
              <w:top w:val="nil"/>
              <w:left w:val="nil"/>
              <w:bottom w:val="single" w:sz="6" w:space="0" w:color="000000"/>
              <w:right w:val="single" w:sz="6" w:space="0" w:color="000000"/>
            </w:tcBorders>
            <w:tcMar>
              <w:top w:w="0" w:type="dxa"/>
              <w:left w:w="0" w:type="dxa"/>
              <w:bottom w:w="0" w:type="dxa"/>
              <w:right w:w="0" w:type="dxa"/>
            </w:tcMar>
          </w:tcPr>
          <w:p w14:paraId="21EE78AF"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1320" w:type="dxa"/>
            <w:tcBorders>
              <w:top w:val="nil"/>
              <w:left w:val="nil"/>
              <w:bottom w:val="single" w:sz="6" w:space="0" w:color="000000"/>
              <w:right w:val="single" w:sz="6" w:space="0" w:color="000000"/>
            </w:tcBorders>
            <w:tcMar>
              <w:top w:w="0" w:type="dxa"/>
              <w:left w:w="0" w:type="dxa"/>
              <w:bottom w:w="0" w:type="dxa"/>
              <w:right w:w="0" w:type="dxa"/>
            </w:tcMar>
          </w:tcPr>
          <w:p w14:paraId="54989DED" w14:textId="77777777" w:rsidR="00334F1D" w:rsidRDefault="002E2462">
            <w:pPr>
              <w:spacing w:before="240" w:after="120" w:line="360" w:lineRule="auto"/>
              <w:rPr>
                <w:rFonts w:ascii="Arial" w:eastAsia="Arial" w:hAnsi="Arial" w:cs="Arial"/>
                <w:sz w:val="20"/>
                <w:szCs w:val="20"/>
              </w:rPr>
            </w:pPr>
            <w:r>
              <w:rPr>
                <w:rFonts w:ascii="Arial" w:hAnsi="Arial"/>
                <w:sz w:val="20"/>
              </w:rPr>
              <w:t>15</w:t>
            </w:r>
          </w:p>
        </w:tc>
        <w:tc>
          <w:tcPr>
            <w:tcW w:w="1470" w:type="dxa"/>
            <w:tcBorders>
              <w:top w:val="nil"/>
              <w:left w:val="nil"/>
              <w:bottom w:val="single" w:sz="6" w:space="0" w:color="000000"/>
              <w:right w:val="single" w:sz="6" w:space="0" w:color="000000"/>
            </w:tcBorders>
            <w:tcMar>
              <w:top w:w="0" w:type="dxa"/>
              <w:left w:w="0" w:type="dxa"/>
              <w:bottom w:w="0" w:type="dxa"/>
              <w:right w:w="0" w:type="dxa"/>
            </w:tcMar>
          </w:tcPr>
          <w:p w14:paraId="7DEF6A74" w14:textId="77777777" w:rsidR="00334F1D" w:rsidRDefault="002E2462">
            <w:pPr>
              <w:spacing w:before="240" w:after="120" w:line="360" w:lineRule="auto"/>
              <w:rPr>
                <w:rFonts w:ascii="Arial" w:eastAsia="Arial" w:hAnsi="Arial" w:cs="Arial"/>
                <w:sz w:val="20"/>
                <w:szCs w:val="20"/>
              </w:rPr>
            </w:pPr>
            <w:r>
              <w:rPr>
                <w:rFonts w:ascii="Arial" w:hAnsi="Arial"/>
                <w:sz w:val="20"/>
              </w:rPr>
              <w:t>8</w:t>
            </w:r>
          </w:p>
        </w:tc>
        <w:tc>
          <w:tcPr>
            <w:tcW w:w="1350" w:type="dxa"/>
            <w:tcBorders>
              <w:top w:val="nil"/>
              <w:left w:val="nil"/>
              <w:bottom w:val="single" w:sz="6" w:space="0" w:color="000000"/>
              <w:right w:val="single" w:sz="6" w:space="0" w:color="000000"/>
            </w:tcBorders>
            <w:tcMar>
              <w:top w:w="0" w:type="dxa"/>
              <w:left w:w="0" w:type="dxa"/>
              <w:bottom w:w="0" w:type="dxa"/>
              <w:right w:w="0" w:type="dxa"/>
            </w:tcMar>
          </w:tcPr>
          <w:p w14:paraId="64D3F0C7" w14:textId="77777777" w:rsidR="00334F1D" w:rsidRDefault="002E2462">
            <w:pPr>
              <w:spacing w:before="240" w:after="120" w:line="360" w:lineRule="auto"/>
              <w:rPr>
                <w:rFonts w:ascii="Arial" w:eastAsia="Arial" w:hAnsi="Arial" w:cs="Arial"/>
                <w:sz w:val="20"/>
                <w:szCs w:val="20"/>
              </w:rPr>
            </w:pPr>
            <w:r>
              <w:rPr>
                <w:rFonts w:ascii="Arial" w:hAnsi="Arial"/>
                <w:sz w:val="20"/>
              </w:rPr>
              <w:t>9.02</w:t>
            </w:r>
          </w:p>
        </w:tc>
        <w:tc>
          <w:tcPr>
            <w:tcW w:w="1440" w:type="dxa"/>
            <w:tcBorders>
              <w:top w:val="nil"/>
              <w:left w:val="nil"/>
              <w:bottom w:val="single" w:sz="6" w:space="0" w:color="000000"/>
              <w:right w:val="single" w:sz="6" w:space="0" w:color="000000"/>
            </w:tcBorders>
            <w:tcMar>
              <w:top w:w="0" w:type="dxa"/>
              <w:left w:w="0" w:type="dxa"/>
              <w:bottom w:w="0" w:type="dxa"/>
              <w:right w:w="0" w:type="dxa"/>
            </w:tcMar>
          </w:tcPr>
          <w:p w14:paraId="31C90040" w14:textId="77777777" w:rsidR="00334F1D" w:rsidRDefault="002E2462">
            <w:pPr>
              <w:spacing w:before="240" w:after="120" w:line="360" w:lineRule="auto"/>
              <w:rPr>
                <w:rFonts w:ascii="Arial" w:eastAsia="Arial" w:hAnsi="Arial" w:cs="Arial"/>
                <w:sz w:val="20"/>
                <w:szCs w:val="20"/>
              </w:rPr>
            </w:pPr>
            <w:r>
              <w:rPr>
                <w:rFonts w:ascii="Arial" w:hAnsi="Arial"/>
                <w:sz w:val="20"/>
              </w:rPr>
              <w:t>112.75</w:t>
            </w:r>
          </w:p>
        </w:tc>
      </w:tr>
      <w:tr w:rsidR="00334F1D" w14:paraId="3F20E0A3" w14:textId="77777777">
        <w:trPr>
          <w:trHeight w:val="435"/>
        </w:trPr>
        <w:tc>
          <w:tcPr>
            <w:tcW w:w="225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EFFDCDF" w14:textId="77777777" w:rsidR="00334F1D" w:rsidRDefault="002E2462">
            <w:pPr>
              <w:spacing w:before="240" w:after="120" w:line="360" w:lineRule="auto"/>
              <w:rPr>
                <w:rFonts w:ascii="Arial" w:eastAsia="Arial" w:hAnsi="Arial" w:cs="Arial"/>
                <w:sz w:val="20"/>
                <w:szCs w:val="20"/>
              </w:rPr>
            </w:pPr>
            <w:r>
              <w:rPr>
                <w:rFonts w:ascii="Arial" w:hAnsi="Arial"/>
                <w:sz w:val="20"/>
              </w:rPr>
              <w:t>Dividend (expected):</w:t>
            </w:r>
          </w:p>
        </w:tc>
        <w:tc>
          <w:tcPr>
            <w:tcW w:w="1050" w:type="dxa"/>
            <w:tcBorders>
              <w:top w:val="nil"/>
              <w:left w:val="nil"/>
              <w:bottom w:val="single" w:sz="6" w:space="0" w:color="000000"/>
              <w:right w:val="single" w:sz="6" w:space="0" w:color="000000"/>
            </w:tcBorders>
            <w:tcMar>
              <w:top w:w="0" w:type="dxa"/>
              <w:left w:w="0" w:type="dxa"/>
              <w:bottom w:w="0" w:type="dxa"/>
              <w:right w:w="0" w:type="dxa"/>
            </w:tcMar>
          </w:tcPr>
          <w:p w14:paraId="78C919FF"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1320" w:type="dxa"/>
            <w:tcBorders>
              <w:top w:val="nil"/>
              <w:left w:val="nil"/>
              <w:bottom w:val="single" w:sz="6" w:space="0" w:color="000000"/>
              <w:right w:val="single" w:sz="6" w:space="0" w:color="000000"/>
            </w:tcBorders>
            <w:tcMar>
              <w:top w:w="0" w:type="dxa"/>
              <w:left w:w="0" w:type="dxa"/>
              <w:bottom w:w="0" w:type="dxa"/>
              <w:right w:w="0" w:type="dxa"/>
            </w:tcMar>
          </w:tcPr>
          <w:p w14:paraId="55F7344F" w14:textId="77777777" w:rsidR="00334F1D" w:rsidRDefault="002E2462">
            <w:pPr>
              <w:spacing w:before="240" w:after="120" w:line="360" w:lineRule="auto"/>
              <w:rPr>
                <w:rFonts w:ascii="Arial" w:eastAsia="Arial" w:hAnsi="Arial" w:cs="Arial"/>
                <w:sz w:val="20"/>
                <w:szCs w:val="20"/>
              </w:rPr>
            </w:pPr>
            <w:r>
              <w:rPr>
                <w:rFonts w:ascii="Arial" w:hAnsi="Arial"/>
                <w:sz w:val="20"/>
              </w:rPr>
              <w:t>5</w:t>
            </w:r>
          </w:p>
        </w:tc>
        <w:tc>
          <w:tcPr>
            <w:tcW w:w="1470" w:type="dxa"/>
            <w:tcBorders>
              <w:top w:val="nil"/>
              <w:left w:val="nil"/>
              <w:bottom w:val="single" w:sz="6" w:space="0" w:color="000000"/>
              <w:right w:val="single" w:sz="6" w:space="0" w:color="000000"/>
            </w:tcBorders>
            <w:tcMar>
              <w:top w:w="0" w:type="dxa"/>
              <w:left w:w="0" w:type="dxa"/>
              <w:bottom w:w="0" w:type="dxa"/>
              <w:right w:w="0" w:type="dxa"/>
            </w:tcMar>
          </w:tcPr>
          <w:p w14:paraId="079EB177" w14:textId="77777777" w:rsidR="00334F1D" w:rsidRDefault="002E2462">
            <w:pPr>
              <w:spacing w:before="240" w:after="120" w:line="360" w:lineRule="auto"/>
              <w:rPr>
                <w:rFonts w:ascii="Arial" w:eastAsia="Arial" w:hAnsi="Arial" w:cs="Arial"/>
                <w:sz w:val="20"/>
                <w:szCs w:val="20"/>
              </w:rPr>
            </w:pPr>
            <w:r>
              <w:rPr>
                <w:rFonts w:ascii="Arial" w:hAnsi="Arial"/>
                <w:sz w:val="20"/>
              </w:rPr>
              <w:t>5</w:t>
            </w:r>
          </w:p>
        </w:tc>
        <w:tc>
          <w:tcPr>
            <w:tcW w:w="1350" w:type="dxa"/>
            <w:tcBorders>
              <w:top w:val="nil"/>
              <w:left w:val="nil"/>
              <w:bottom w:val="single" w:sz="6" w:space="0" w:color="000000"/>
              <w:right w:val="single" w:sz="6" w:space="0" w:color="000000"/>
            </w:tcBorders>
            <w:tcMar>
              <w:top w:w="0" w:type="dxa"/>
              <w:left w:w="0" w:type="dxa"/>
              <w:bottom w:w="0" w:type="dxa"/>
              <w:right w:w="0" w:type="dxa"/>
            </w:tcMar>
          </w:tcPr>
          <w:p w14:paraId="6E0AD1E2"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1440" w:type="dxa"/>
            <w:tcBorders>
              <w:top w:val="nil"/>
              <w:left w:val="nil"/>
              <w:bottom w:val="single" w:sz="6" w:space="0" w:color="000000"/>
              <w:right w:val="single" w:sz="6" w:space="0" w:color="000000"/>
            </w:tcBorders>
            <w:tcMar>
              <w:top w:w="0" w:type="dxa"/>
              <w:left w:w="0" w:type="dxa"/>
              <w:bottom w:w="0" w:type="dxa"/>
              <w:right w:w="0" w:type="dxa"/>
            </w:tcMar>
          </w:tcPr>
          <w:p w14:paraId="3022B906"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r>
    </w:tbl>
    <w:p w14:paraId="6B56B5AA" w14:textId="77777777" w:rsidR="00334F1D" w:rsidRDefault="002E2462">
      <w:pPr>
        <w:spacing w:before="240" w:after="120" w:line="360" w:lineRule="auto"/>
        <w:rPr>
          <w:rFonts w:ascii="Arial" w:eastAsia="Arial" w:hAnsi="Arial" w:cs="Arial"/>
          <w:sz w:val="20"/>
          <w:szCs w:val="20"/>
        </w:rPr>
      </w:pPr>
      <w:r>
        <w:rPr>
          <w:rFonts w:ascii="Arial" w:hAnsi="Arial"/>
          <w:sz w:val="20"/>
        </w:rPr>
        <w:t xml:space="preserve"> Production and business plan for 2024:</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720"/>
        <w:gridCol w:w="3675"/>
        <w:gridCol w:w="1890"/>
        <w:gridCol w:w="2610"/>
      </w:tblGrid>
      <w:tr w:rsidR="00334F1D" w14:paraId="104175C4" w14:textId="77777777">
        <w:trPr>
          <w:trHeight w:val="435"/>
        </w:trPr>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1C89" w14:textId="77777777" w:rsidR="00334F1D" w:rsidRPr="002E2462" w:rsidRDefault="002E2462">
            <w:pPr>
              <w:spacing w:before="240" w:after="120" w:line="360" w:lineRule="auto"/>
              <w:rPr>
                <w:rFonts w:ascii="Arial" w:eastAsia="Arial" w:hAnsi="Arial" w:cs="Arial"/>
                <w:bCs/>
                <w:sz w:val="20"/>
                <w:szCs w:val="20"/>
              </w:rPr>
            </w:pPr>
            <w:r w:rsidRPr="002E2462">
              <w:rPr>
                <w:rFonts w:ascii="Arial" w:hAnsi="Arial"/>
                <w:bCs/>
                <w:sz w:val="20"/>
              </w:rPr>
              <w:t>No.</w:t>
            </w:r>
          </w:p>
        </w:tc>
        <w:tc>
          <w:tcPr>
            <w:tcW w:w="36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F47B59E" w14:textId="77777777" w:rsidR="00334F1D" w:rsidRDefault="002E2462">
            <w:pPr>
              <w:spacing w:before="240" w:after="120" w:line="360" w:lineRule="auto"/>
              <w:rPr>
                <w:rFonts w:ascii="Arial" w:eastAsia="Arial" w:hAnsi="Arial" w:cs="Arial"/>
                <w:sz w:val="20"/>
                <w:szCs w:val="20"/>
              </w:rPr>
            </w:pPr>
            <w:r>
              <w:rPr>
                <w:rFonts w:ascii="Arial" w:hAnsi="Arial"/>
                <w:sz w:val="20"/>
              </w:rPr>
              <w:t>Expected Plan Targets</w:t>
            </w:r>
          </w:p>
        </w:tc>
        <w:tc>
          <w:tcPr>
            <w:tcW w:w="189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D0F665B" w14:textId="77777777" w:rsidR="00334F1D" w:rsidRDefault="002E2462">
            <w:pPr>
              <w:spacing w:before="240" w:after="120" w:line="360" w:lineRule="auto"/>
              <w:rPr>
                <w:rFonts w:ascii="Arial" w:eastAsia="Arial" w:hAnsi="Arial" w:cs="Arial"/>
                <w:sz w:val="20"/>
                <w:szCs w:val="20"/>
              </w:rPr>
            </w:pPr>
            <w:r>
              <w:rPr>
                <w:rFonts w:ascii="Arial" w:hAnsi="Arial"/>
                <w:sz w:val="20"/>
              </w:rPr>
              <w:t>Unit:</w:t>
            </w:r>
          </w:p>
        </w:tc>
        <w:tc>
          <w:tcPr>
            <w:tcW w:w="261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2D6A9EB" w14:textId="77777777" w:rsidR="00334F1D" w:rsidRDefault="002E2462">
            <w:pPr>
              <w:spacing w:before="240" w:after="120" w:line="360" w:lineRule="auto"/>
              <w:rPr>
                <w:rFonts w:ascii="Arial" w:eastAsia="Arial" w:hAnsi="Arial" w:cs="Arial"/>
                <w:sz w:val="20"/>
                <w:szCs w:val="20"/>
              </w:rPr>
            </w:pPr>
            <w:r>
              <w:rPr>
                <w:rFonts w:ascii="Arial" w:hAnsi="Arial"/>
                <w:sz w:val="20"/>
              </w:rPr>
              <w:t>Plan 2024</w:t>
            </w:r>
          </w:p>
        </w:tc>
      </w:tr>
      <w:tr w:rsidR="00334F1D" w14:paraId="59147B8F"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A4F8811" w14:textId="77777777" w:rsidR="00334F1D" w:rsidRDefault="002E2462">
            <w:pPr>
              <w:spacing w:before="240" w:after="120" w:line="360" w:lineRule="auto"/>
              <w:rPr>
                <w:rFonts w:ascii="Arial" w:eastAsia="Arial" w:hAnsi="Arial" w:cs="Arial"/>
                <w:sz w:val="20"/>
                <w:szCs w:val="20"/>
              </w:rPr>
            </w:pPr>
            <w:r>
              <w:rPr>
                <w:rFonts w:ascii="Arial" w:hAnsi="Arial"/>
                <w:sz w:val="20"/>
              </w:rPr>
              <w:t>1</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1823BFEE" w14:textId="77777777" w:rsidR="00334F1D" w:rsidRDefault="002E2462">
            <w:pPr>
              <w:spacing w:before="240" w:after="120" w:line="360" w:lineRule="auto"/>
              <w:rPr>
                <w:rFonts w:ascii="Arial" w:eastAsia="Arial" w:hAnsi="Arial" w:cs="Arial"/>
                <w:sz w:val="20"/>
                <w:szCs w:val="20"/>
              </w:rPr>
            </w:pPr>
            <w:r>
              <w:rPr>
                <w:rFonts w:ascii="Arial" w:hAnsi="Arial"/>
                <w:sz w:val="20"/>
              </w:rPr>
              <w:t>Total revenue:</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2E86D971"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06507E93" w14:textId="77777777" w:rsidR="00334F1D" w:rsidRDefault="002E2462">
            <w:pPr>
              <w:spacing w:before="240" w:after="120" w:line="360" w:lineRule="auto"/>
              <w:rPr>
                <w:rFonts w:ascii="Arial" w:eastAsia="Arial" w:hAnsi="Arial" w:cs="Arial"/>
                <w:sz w:val="20"/>
                <w:szCs w:val="20"/>
              </w:rPr>
            </w:pPr>
            <w:r>
              <w:rPr>
                <w:rFonts w:ascii="Arial" w:hAnsi="Arial"/>
                <w:sz w:val="20"/>
              </w:rPr>
              <w:t>178</w:t>
            </w:r>
          </w:p>
        </w:tc>
      </w:tr>
      <w:tr w:rsidR="00334F1D" w14:paraId="0D006B53"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1D4F299"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616B7C4C" w14:textId="77777777" w:rsidR="00334F1D" w:rsidRDefault="002E2462">
            <w:pPr>
              <w:spacing w:before="240" w:after="120" w:line="360" w:lineRule="auto"/>
              <w:rPr>
                <w:rFonts w:ascii="Arial" w:eastAsia="Arial" w:hAnsi="Arial" w:cs="Arial"/>
                <w:sz w:val="20"/>
                <w:szCs w:val="20"/>
              </w:rPr>
            </w:pPr>
            <w:r>
              <w:rPr>
                <w:rFonts w:ascii="Arial" w:hAnsi="Arial"/>
                <w:sz w:val="20"/>
              </w:rPr>
              <w:t>Revenue from real estate</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738C4999"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67F06931" w14:textId="77777777" w:rsidR="00334F1D" w:rsidRDefault="002E2462">
            <w:pPr>
              <w:spacing w:before="240" w:after="120" w:line="360" w:lineRule="auto"/>
              <w:rPr>
                <w:rFonts w:ascii="Arial" w:eastAsia="Arial" w:hAnsi="Arial" w:cs="Arial"/>
                <w:sz w:val="20"/>
                <w:szCs w:val="20"/>
              </w:rPr>
            </w:pPr>
            <w:r>
              <w:rPr>
                <w:rFonts w:ascii="Arial" w:hAnsi="Arial"/>
                <w:sz w:val="20"/>
              </w:rPr>
              <w:t>20</w:t>
            </w:r>
          </w:p>
        </w:tc>
      </w:tr>
      <w:tr w:rsidR="00334F1D" w14:paraId="3C04BD03"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421FF8E"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0755D177" w14:textId="77777777" w:rsidR="00334F1D" w:rsidRDefault="002E2462">
            <w:pPr>
              <w:spacing w:before="240" w:after="120" w:line="360" w:lineRule="auto"/>
              <w:rPr>
                <w:rFonts w:ascii="Arial" w:eastAsia="Arial" w:hAnsi="Arial" w:cs="Arial"/>
                <w:sz w:val="20"/>
                <w:szCs w:val="20"/>
              </w:rPr>
            </w:pPr>
            <w:r>
              <w:rPr>
                <w:rFonts w:ascii="Arial" w:hAnsi="Arial"/>
                <w:sz w:val="20"/>
              </w:rPr>
              <w:t>Revenue from financial activities</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025184C5"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0C5F386F" w14:textId="77777777" w:rsidR="00334F1D" w:rsidRDefault="002E2462">
            <w:pPr>
              <w:spacing w:before="240" w:after="120" w:line="360" w:lineRule="auto"/>
              <w:rPr>
                <w:rFonts w:ascii="Arial" w:eastAsia="Arial" w:hAnsi="Arial" w:cs="Arial"/>
                <w:sz w:val="20"/>
                <w:szCs w:val="20"/>
              </w:rPr>
            </w:pPr>
            <w:r>
              <w:rPr>
                <w:rFonts w:ascii="Arial" w:hAnsi="Arial"/>
                <w:sz w:val="20"/>
              </w:rPr>
              <w:t>20</w:t>
            </w:r>
          </w:p>
        </w:tc>
      </w:tr>
      <w:tr w:rsidR="00334F1D" w14:paraId="15920316"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CD3FFE3"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0C0C6FED" w14:textId="77777777" w:rsidR="00334F1D" w:rsidRDefault="002E2462">
            <w:pPr>
              <w:spacing w:before="240" w:after="120" w:line="360" w:lineRule="auto"/>
              <w:rPr>
                <w:rFonts w:ascii="Arial" w:eastAsia="Arial" w:hAnsi="Arial" w:cs="Arial"/>
                <w:sz w:val="20"/>
                <w:szCs w:val="20"/>
              </w:rPr>
            </w:pPr>
            <w:r>
              <w:rPr>
                <w:rFonts w:ascii="Arial" w:hAnsi="Arial"/>
                <w:sz w:val="20"/>
              </w:rPr>
              <w:t>- Revenue from construction and installation</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542E7D03"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167EB27C" w14:textId="77777777" w:rsidR="00334F1D" w:rsidRDefault="002E2462">
            <w:pPr>
              <w:spacing w:before="240" w:after="120" w:line="360" w:lineRule="auto"/>
              <w:rPr>
                <w:rFonts w:ascii="Arial" w:eastAsia="Arial" w:hAnsi="Arial" w:cs="Arial"/>
                <w:sz w:val="20"/>
                <w:szCs w:val="20"/>
              </w:rPr>
            </w:pPr>
            <w:r>
              <w:rPr>
                <w:rFonts w:ascii="Arial" w:hAnsi="Arial"/>
                <w:sz w:val="20"/>
              </w:rPr>
              <w:t>138</w:t>
            </w:r>
          </w:p>
        </w:tc>
      </w:tr>
      <w:tr w:rsidR="00334F1D" w14:paraId="60EFA562"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8D13C6" w14:textId="77777777" w:rsidR="00334F1D" w:rsidRDefault="002E2462">
            <w:pPr>
              <w:spacing w:before="240" w:after="120" w:line="360" w:lineRule="auto"/>
              <w:rPr>
                <w:rFonts w:ascii="Arial" w:eastAsia="Arial" w:hAnsi="Arial" w:cs="Arial"/>
                <w:sz w:val="20"/>
                <w:szCs w:val="20"/>
              </w:rPr>
            </w:pPr>
            <w:r>
              <w:rPr>
                <w:rFonts w:ascii="Arial" w:hAnsi="Arial"/>
                <w:sz w:val="20"/>
              </w:rPr>
              <w:t>2</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483C4FEC" w14:textId="77777777" w:rsidR="00334F1D" w:rsidRDefault="002E2462">
            <w:pPr>
              <w:spacing w:before="240" w:after="120" w:line="360" w:lineRule="auto"/>
              <w:rPr>
                <w:rFonts w:ascii="Arial" w:eastAsia="Arial" w:hAnsi="Arial" w:cs="Arial"/>
                <w:sz w:val="20"/>
                <w:szCs w:val="20"/>
              </w:rPr>
            </w:pPr>
            <w:r>
              <w:rPr>
                <w:rFonts w:ascii="Arial" w:hAnsi="Arial"/>
                <w:sz w:val="20"/>
              </w:rPr>
              <w:t>Profit after tax</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4CD2E507"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51A924A5" w14:textId="77777777" w:rsidR="00334F1D" w:rsidRDefault="002E2462">
            <w:pPr>
              <w:spacing w:before="240" w:after="120" w:line="360" w:lineRule="auto"/>
              <w:rPr>
                <w:rFonts w:ascii="Arial" w:eastAsia="Arial" w:hAnsi="Arial" w:cs="Arial"/>
                <w:sz w:val="20"/>
                <w:szCs w:val="20"/>
              </w:rPr>
            </w:pPr>
            <w:r>
              <w:rPr>
                <w:rFonts w:ascii="Arial" w:hAnsi="Arial"/>
                <w:sz w:val="20"/>
              </w:rPr>
              <w:t>25</w:t>
            </w:r>
          </w:p>
        </w:tc>
      </w:tr>
      <w:tr w:rsidR="00334F1D" w14:paraId="5F98CC27"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4A87977" w14:textId="77777777" w:rsidR="00334F1D" w:rsidRDefault="002E2462">
            <w:pPr>
              <w:spacing w:before="240" w:after="120" w:line="360" w:lineRule="auto"/>
              <w:rPr>
                <w:rFonts w:ascii="Arial" w:eastAsia="Arial" w:hAnsi="Arial" w:cs="Arial"/>
                <w:sz w:val="20"/>
                <w:szCs w:val="20"/>
              </w:rPr>
            </w:pPr>
            <w:r>
              <w:rPr>
                <w:rFonts w:ascii="Arial" w:hAnsi="Arial"/>
                <w:sz w:val="20"/>
              </w:rPr>
              <w:t>3</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2E48B468" w14:textId="77777777" w:rsidR="00334F1D" w:rsidRDefault="002E2462">
            <w:pPr>
              <w:spacing w:before="240" w:after="120" w:line="360" w:lineRule="auto"/>
              <w:rPr>
                <w:rFonts w:ascii="Arial" w:eastAsia="Arial" w:hAnsi="Arial" w:cs="Arial"/>
                <w:sz w:val="20"/>
                <w:szCs w:val="20"/>
              </w:rPr>
            </w:pPr>
            <w:r>
              <w:rPr>
                <w:rFonts w:ascii="Arial" w:hAnsi="Arial"/>
                <w:sz w:val="20"/>
              </w:rPr>
              <w:t>Payable to State budget</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363DBC05" w14:textId="77777777" w:rsidR="00334F1D" w:rsidRDefault="002E2462">
            <w:pPr>
              <w:spacing w:before="240" w:after="120" w:line="360" w:lineRule="auto"/>
              <w:rPr>
                <w:rFonts w:ascii="Arial" w:eastAsia="Arial" w:hAnsi="Arial" w:cs="Arial"/>
                <w:sz w:val="20"/>
                <w:szCs w:val="20"/>
              </w:rPr>
            </w:pPr>
            <w:r>
              <w:rPr>
                <w:rFonts w:ascii="Arial" w:hAnsi="Arial"/>
                <w:sz w:val="20"/>
              </w:rPr>
              <w:t>Billion VND</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7962D52B" w14:textId="77777777" w:rsidR="00334F1D" w:rsidRDefault="002E2462">
            <w:pPr>
              <w:spacing w:before="240" w:after="120" w:line="360" w:lineRule="auto"/>
              <w:rPr>
                <w:rFonts w:ascii="Arial" w:eastAsia="Arial" w:hAnsi="Arial" w:cs="Arial"/>
                <w:sz w:val="20"/>
                <w:szCs w:val="20"/>
              </w:rPr>
            </w:pPr>
            <w:r>
              <w:rPr>
                <w:rFonts w:ascii="Arial" w:hAnsi="Arial"/>
                <w:sz w:val="20"/>
              </w:rPr>
              <w:t>10</w:t>
            </w:r>
          </w:p>
        </w:tc>
      </w:tr>
      <w:tr w:rsidR="00334F1D" w14:paraId="58C88268"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3DCE5FD" w14:textId="77777777" w:rsidR="00334F1D" w:rsidRDefault="002E2462">
            <w:pPr>
              <w:spacing w:before="240" w:after="120" w:line="360" w:lineRule="auto"/>
              <w:rPr>
                <w:rFonts w:ascii="Arial" w:eastAsia="Arial" w:hAnsi="Arial" w:cs="Arial"/>
                <w:sz w:val="20"/>
                <w:szCs w:val="20"/>
              </w:rPr>
            </w:pPr>
            <w:r>
              <w:rPr>
                <w:rFonts w:ascii="Arial" w:hAnsi="Arial"/>
                <w:sz w:val="20"/>
              </w:rPr>
              <w:lastRenderedPageBreak/>
              <w:t>4</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4C6FCB04" w14:textId="77777777" w:rsidR="00334F1D" w:rsidRDefault="002E2462">
            <w:pPr>
              <w:spacing w:before="240" w:after="120" w:line="360" w:lineRule="auto"/>
              <w:rPr>
                <w:rFonts w:ascii="Arial" w:eastAsia="Arial" w:hAnsi="Arial" w:cs="Arial"/>
                <w:sz w:val="20"/>
                <w:szCs w:val="20"/>
              </w:rPr>
            </w:pPr>
            <w:r>
              <w:rPr>
                <w:rFonts w:ascii="Arial" w:hAnsi="Arial"/>
                <w:sz w:val="20"/>
              </w:rPr>
              <w:t>Average income</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77CC2374" w14:textId="77777777" w:rsidR="00334F1D" w:rsidRDefault="002E2462">
            <w:pPr>
              <w:spacing w:before="240" w:after="120" w:line="360" w:lineRule="auto"/>
              <w:rPr>
                <w:rFonts w:ascii="Arial" w:eastAsia="Arial" w:hAnsi="Arial" w:cs="Arial"/>
                <w:sz w:val="20"/>
                <w:szCs w:val="20"/>
              </w:rPr>
            </w:pPr>
            <w:r>
              <w:rPr>
                <w:rFonts w:ascii="Arial" w:hAnsi="Arial"/>
                <w:sz w:val="20"/>
              </w:rPr>
              <w:t>Million VND/person/month</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6D791286" w14:textId="77777777" w:rsidR="00334F1D" w:rsidRDefault="002E2462">
            <w:pPr>
              <w:spacing w:before="240" w:after="120" w:line="360" w:lineRule="auto"/>
              <w:rPr>
                <w:rFonts w:ascii="Arial" w:eastAsia="Arial" w:hAnsi="Arial" w:cs="Arial"/>
                <w:sz w:val="20"/>
                <w:szCs w:val="20"/>
              </w:rPr>
            </w:pPr>
            <w:r>
              <w:rPr>
                <w:rFonts w:ascii="Arial" w:hAnsi="Arial"/>
                <w:sz w:val="20"/>
              </w:rPr>
              <w:t>10</w:t>
            </w:r>
          </w:p>
        </w:tc>
      </w:tr>
      <w:tr w:rsidR="00334F1D" w14:paraId="52396B06" w14:textId="77777777">
        <w:trPr>
          <w:trHeight w:val="435"/>
        </w:trPr>
        <w:tc>
          <w:tcPr>
            <w:tcW w:w="7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F3FC6FF" w14:textId="77777777" w:rsidR="00334F1D" w:rsidRDefault="002E2462">
            <w:pPr>
              <w:spacing w:before="240" w:after="120" w:line="360" w:lineRule="auto"/>
              <w:rPr>
                <w:rFonts w:ascii="Arial" w:eastAsia="Arial" w:hAnsi="Arial" w:cs="Arial"/>
                <w:sz w:val="20"/>
                <w:szCs w:val="20"/>
              </w:rPr>
            </w:pPr>
            <w:r>
              <w:rPr>
                <w:rFonts w:ascii="Arial" w:hAnsi="Arial"/>
                <w:sz w:val="20"/>
              </w:rPr>
              <w:t>5</w:t>
            </w:r>
          </w:p>
        </w:tc>
        <w:tc>
          <w:tcPr>
            <w:tcW w:w="3675" w:type="dxa"/>
            <w:tcBorders>
              <w:top w:val="nil"/>
              <w:left w:val="nil"/>
              <w:bottom w:val="single" w:sz="6" w:space="0" w:color="000000"/>
              <w:right w:val="single" w:sz="6" w:space="0" w:color="000000"/>
            </w:tcBorders>
            <w:tcMar>
              <w:top w:w="0" w:type="dxa"/>
              <w:left w:w="0" w:type="dxa"/>
              <w:bottom w:w="0" w:type="dxa"/>
              <w:right w:w="0" w:type="dxa"/>
            </w:tcMar>
          </w:tcPr>
          <w:p w14:paraId="6CC1D7BC" w14:textId="77777777" w:rsidR="00334F1D" w:rsidRDefault="002E2462">
            <w:pPr>
              <w:spacing w:before="240" w:after="120" w:line="360" w:lineRule="auto"/>
              <w:rPr>
                <w:rFonts w:ascii="Arial" w:eastAsia="Arial" w:hAnsi="Arial" w:cs="Arial"/>
                <w:sz w:val="20"/>
                <w:szCs w:val="20"/>
              </w:rPr>
            </w:pPr>
            <w:r>
              <w:rPr>
                <w:rFonts w:ascii="Arial" w:hAnsi="Arial"/>
                <w:sz w:val="20"/>
              </w:rPr>
              <w:t>Dividend (expected):</w:t>
            </w:r>
          </w:p>
        </w:tc>
        <w:tc>
          <w:tcPr>
            <w:tcW w:w="1890" w:type="dxa"/>
            <w:tcBorders>
              <w:top w:val="nil"/>
              <w:left w:val="nil"/>
              <w:bottom w:val="single" w:sz="6" w:space="0" w:color="000000"/>
              <w:right w:val="single" w:sz="6" w:space="0" w:color="000000"/>
            </w:tcBorders>
            <w:tcMar>
              <w:top w:w="0" w:type="dxa"/>
              <w:left w:w="0" w:type="dxa"/>
              <w:bottom w:w="0" w:type="dxa"/>
              <w:right w:w="0" w:type="dxa"/>
            </w:tcMar>
          </w:tcPr>
          <w:p w14:paraId="637E42DA" w14:textId="77777777" w:rsidR="00334F1D" w:rsidRDefault="002E2462">
            <w:pPr>
              <w:spacing w:before="240" w:after="120" w:line="360" w:lineRule="auto"/>
              <w:rPr>
                <w:rFonts w:ascii="Arial" w:eastAsia="Arial" w:hAnsi="Arial" w:cs="Arial"/>
                <w:sz w:val="20"/>
                <w:szCs w:val="20"/>
              </w:rPr>
            </w:pPr>
            <w:r>
              <w:rPr>
                <w:rFonts w:ascii="Arial" w:hAnsi="Arial"/>
                <w:sz w:val="20"/>
              </w:rPr>
              <w:t>%</w:t>
            </w:r>
          </w:p>
        </w:tc>
        <w:tc>
          <w:tcPr>
            <w:tcW w:w="2610" w:type="dxa"/>
            <w:tcBorders>
              <w:top w:val="nil"/>
              <w:left w:val="nil"/>
              <w:bottom w:val="single" w:sz="6" w:space="0" w:color="000000"/>
              <w:right w:val="single" w:sz="6" w:space="0" w:color="000000"/>
            </w:tcBorders>
            <w:tcMar>
              <w:top w:w="0" w:type="dxa"/>
              <w:left w:w="0" w:type="dxa"/>
              <w:bottom w:w="0" w:type="dxa"/>
              <w:right w:w="0" w:type="dxa"/>
            </w:tcMar>
          </w:tcPr>
          <w:p w14:paraId="7DD79343" w14:textId="77777777" w:rsidR="00334F1D" w:rsidRDefault="002E2462">
            <w:pPr>
              <w:spacing w:before="240" w:after="120" w:line="360" w:lineRule="auto"/>
              <w:rPr>
                <w:rFonts w:ascii="Arial" w:eastAsia="Arial" w:hAnsi="Arial" w:cs="Arial"/>
                <w:sz w:val="20"/>
                <w:szCs w:val="20"/>
              </w:rPr>
            </w:pPr>
            <w:r>
              <w:rPr>
                <w:rFonts w:ascii="Arial" w:hAnsi="Arial"/>
                <w:sz w:val="20"/>
              </w:rPr>
              <w:t>5</w:t>
            </w:r>
          </w:p>
        </w:tc>
      </w:tr>
    </w:tbl>
    <w:p w14:paraId="7FCB9E6A" w14:textId="77777777" w:rsidR="00334F1D" w:rsidRDefault="002E2462" w:rsidP="00F92E29">
      <w:pPr>
        <w:spacing w:before="240" w:after="120" w:line="360" w:lineRule="auto"/>
        <w:jc w:val="both"/>
        <w:rPr>
          <w:rFonts w:ascii="Arial" w:eastAsia="Arial" w:hAnsi="Arial" w:cs="Arial"/>
          <w:sz w:val="20"/>
          <w:szCs w:val="20"/>
        </w:rPr>
      </w:pPr>
      <w:r>
        <w:rPr>
          <w:rFonts w:ascii="Arial" w:hAnsi="Arial"/>
          <w:sz w:val="20"/>
        </w:rPr>
        <w:t xml:space="preserve">The Nam Minh Phuong Urban Area project is a project with complete legal documents and is a key project that the Company will implement this year and in the following years. On April 10, 2024, the Deputy Prime Minister signed a Decision approving the adjustment of the General Planning of Viet Tri city,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province to 2040. This includes adjusting the scale and detailed 1/500 planning in the technical infrastructure system related to the planning of the Nam Minh Phuong New Urban Area Project. Currently, the Company is urgently reviewing and coordinating with the Consulting Unit to complete the 1/500 detailed planning adjustment plan to submit for appraisal and approval in accordance with the general planning of Viet Tri city to 2030 with a vision to 2040 approved by the Prime Minister.</w:t>
      </w:r>
    </w:p>
    <w:p w14:paraId="41895586"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After the 1/500 detailed planning adjustment is approved in 2024, the area of residential land, commercial land and the total investment capital, land use fees may increase or decrease. The company will propose to the competent authorities of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province to adjust the Investment Policy (including the content of adjusting the project completion schedule) as a basis for signing an Appendix contract with the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Department of Construction.</w:t>
      </w:r>
    </w:p>
    <w:p w14:paraId="4CA2C9D3"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Due to the large scale of the Project, the policy of the Board of Directors and the Board of Management will be to invest in phases and areas in order to accelerate the commencement of project investment as soon as possible and reduce pressure on investment capital. Phase 1 will invest in about 10 ha of clean site clearance.</w:t>
      </w:r>
    </w:p>
    <w:p w14:paraId="1C257CD2" w14:textId="77777777" w:rsidR="00334F1D" w:rsidRDefault="002E2462" w:rsidP="00F92E29">
      <w:pPr>
        <w:numPr>
          <w:ilvl w:val="0"/>
          <w:numId w:val="1"/>
        </w:numPr>
        <w:pBdr>
          <w:top w:val="nil"/>
          <w:left w:val="nil"/>
          <w:bottom w:val="nil"/>
          <w:right w:val="nil"/>
          <w:between w:val="nil"/>
        </w:pBdr>
        <w:tabs>
          <w:tab w:val="left" w:pos="90"/>
        </w:tabs>
        <w:spacing w:after="120" w:line="360" w:lineRule="auto"/>
        <w:jc w:val="both"/>
        <w:rPr>
          <w:rFonts w:ascii="Arial" w:eastAsia="Arial" w:hAnsi="Arial" w:cs="Arial"/>
          <w:sz w:val="20"/>
          <w:szCs w:val="20"/>
        </w:rPr>
      </w:pPr>
      <w:r>
        <w:rPr>
          <w:rFonts w:ascii="Arial" w:hAnsi="Arial"/>
          <w:sz w:val="20"/>
        </w:rPr>
        <w:t>Regarding the plan to use capital raised from the public offering of shares in 2018, the amount to be used for the Nam Minh Phuong Urban Area Project is VND 60 billion (In which: Site clearance cost is VND 40 billion and leveling cost is VND 20 billion).  The company has used VND 40 billion for site clearance, the amount of VND 20 billion for site leveling costs is proposed to the General Meeting of Shareholders to change the purpose of use to continue compensation for site clearance. The use of the Company's capital is reported every 6 months in accordance with regulations.</w:t>
      </w:r>
    </w:p>
    <w:p w14:paraId="65323D9B" w14:textId="77777777" w:rsidR="00334F1D" w:rsidRDefault="002E2462" w:rsidP="00F92E29">
      <w:pPr>
        <w:numPr>
          <w:ilvl w:val="0"/>
          <w:numId w:val="1"/>
        </w:numPr>
        <w:pBdr>
          <w:top w:val="nil"/>
          <w:left w:val="nil"/>
          <w:bottom w:val="nil"/>
          <w:right w:val="nil"/>
          <w:between w:val="nil"/>
        </w:pBdr>
        <w:tabs>
          <w:tab w:val="left" w:pos="90"/>
        </w:tabs>
        <w:spacing w:after="120" w:line="360" w:lineRule="auto"/>
        <w:jc w:val="both"/>
        <w:rPr>
          <w:rFonts w:ascii="Arial" w:eastAsia="Arial" w:hAnsi="Arial" w:cs="Arial"/>
          <w:sz w:val="20"/>
          <w:szCs w:val="20"/>
        </w:rPr>
      </w:pPr>
      <w:r>
        <w:rPr>
          <w:rFonts w:ascii="Arial" w:hAnsi="Arial"/>
          <w:sz w:val="20"/>
        </w:rPr>
        <w:t>The total cost of site clearance and rice land protection fees for the entire project is estimated at VND 225.8 billion (excluding support costs outside the State-approved unit price), of which VND 97 billion has been advanced and paid as of December 31, 2023, the remaining estimated cost is VND 128.8 billion.</w:t>
      </w:r>
    </w:p>
    <w:p w14:paraId="537261C9" w14:textId="77777777" w:rsidR="00334F1D" w:rsidRDefault="002E2462" w:rsidP="00F92E29">
      <w:pPr>
        <w:numPr>
          <w:ilvl w:val="0"/>
          <w:numId w:val="1"/>
        </w:numPr>
        <w:pBdr>
          <w:top w:val="nil"/>
          <w:left w:val="nil"/>
          <w:bottom w:val="nil"/>
          <w:right w:val="nil"/>
          <w:between w:val="nil"/>
        </w:pBdr>
        <w:tabs>
          <w:tab w:val="left" w:pos="90"/>
        </w:tabs>
        <w:spacing w:after="120" w:line="360" w:lineRule="auto"/>
        <w:jc w:val="both"/>
        <w:rPr>
          <w:rFonts w:ascii="Arial" w:eastAsia="Arial" w:hAnsi="Arial" w:cs="Arial"/>
          <w:sz w:val="20"/>
          <w:szCs w:val="20"/>
        </w:rPr>
      </w:pPr>
      <w:r>
        <w:rPr>
          <w:rFonts w:ascii="Arial" w:hAnsi="Arial"/>
          <w:sz w:val="20"/>
        </w:rPr>
        <w:t>Land use fees are estimated for 10ha of allocated land, with a business land area of about 3.2 ha = 32,000m2, the estimated land use fee is: VND 10,680,000/m2 X 32,000m2 = VND 341.76 billion.</w:t>
      </w:r>
    </w:p>
    <w:p w14:paraId="661E4D3C" w14:textId="77777777" w:rsidR="00334F1D" w:rsidRDefault="002E2462" w:rsidP="00F92E29">
      <w:pPr>
        <w:numPr>
          <w:ilvl w:val="0"/>
          <w:numId w:val="1"/>
        </w:numPr>
        <w:pBdr>
          <w:top w:val="nil"/>
          <w:left w:val="nil"/>
          <w:bottom w:val="nil"/>
          <w:right w:val="nil"/>
          <w:between w:val="nil"/>
        </w:pBdr>
        <w:tabs>
          <w:tab w:val="left" w:pos="90"/>
        </w:tabs>
        <w:spacing w:after="120" w:line="360" w:lineRule="auto"/>
        <w:jc w:val="both"/>
        <w:rPr>
          <w:rFonts w:ascii="Arial" w:eastAsia="Arial" w:hAnsi="Arial" w:cs="Arial"/>
          <w:sz w:val="20"/>
          <w:szCs w:val="20"/>
        </w:rPr>
      </w:pPr>
      <w:r>
        <w:rPr>
          <w:rFonts w:ascii="Arial" w:hAnsi="Arial"/>
          <w:sz w:val="20"/>
        </w:rPr>
        <w:t xml:space="preserve">Thus, the total amount of site clearance and land use fees that cannot be borrowed from credit institutions is: VND 470.56 billion, the company's capital as of December 31, 2023 is only VND 185.4 </w:t>
      </w:r>
      <w:r>
        <w:rPr>
          <w:rFonts w:ascii="Arial" w:hAnsi="Arial"/>
          <w:sz w:val="20"/>
        </w:rPr>
        <w:lastRenderedPageBreak/>
        <w:t>billion, it is estimated that an additional VND 285.16 billion is needed.</w:t>
      </w:r>
    </w:p>
    <w:p w14:paraId="3385E23F"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After the State allocates 10 ha of land, the plan for financial obligations will be determined for phase 1, paying land use fees for 10ha. Pursuant to Clause 4, Article 18 of Decree 126/2020/ND-CP regulating the time of land use fee payment: no later than 30 days from the date of issuing the notice of land use fee payment, the land user must pay 50% of the land use fee according to the notice and no later than 90 days, the land user must pay the remaining 50% of the land use fee.</w:t>
      </w:r>
    </w:p>
    <w:p w14:paraId="3245507F"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Based on the actual and urgent capital needs mentioned above, </w:t>
      </w:r>
      <w:proofErr w:type="spellStart"/>
      <w:r>
        <w:rPr>
          <w:rFonts w:ascii="Arial" w:hAnsi="Arial"/>
          <w:sz w:val="20"/>
        </w:rPr>
        <w:t>Licogi</w:t>
      </w:r>
      <w:proofErr w:type="spellEnd"/>
      <w:r>
        <w:rPr>
          <w:rFonts w:ascii="Arial" w:hAnsi="Arial"/>
          <w:sz w:val="20"/>
        </w:rPr>
        <w:t xml:space="preserve"> 14 JSC needs to raise owner's equity to pay the land use fees for phase 1 of 10 ha of the Nam Minh Phuong New Urban Area Project in Viet Tri city. If there is not enough money to pay within 90 days, it will affect the investor's reputation and the project will have to stop implementation.</w:t>
      </w:r>
    </w:p>
    <w:p w14:paraId="282DE829"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Through collecting shareholders' opinions via a ballot or organizing an Extraordinary General Meeting of Shareholders expected in Q3 - Q4/2024 to submit the plan to issue shares to increase the charter capital in 2024 to existing shareholders or to offer private placement of shares for the purpose of investing in Phase 1 of the Nam Minh Phuong New Urban Area Project in Viet Tri city,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province (expected 10ha) - a project with complete legal documents and a key project that the Company will implement this year and in the following years.</w:t>
      </w:r>
    </w:p>
    <w:p w14:paraId="04304670"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At the same time, work with credit institutions that are currently transacting and seek new reputable credit institutions with reasonable lending interest rates; mobilize capital from other legal capital sources to invest in the project.</w:t>
      </w:r>
    </w:p>
    <w:p w14:paraId="4B0AEC7C"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Content 02. Approve the Report on the operation of the Supervisory Board in 2023 and the operation plan for 2024</w:t>
      </w:r>
    </w:p>
    <w:p w14:paraId="7D1F3AEB"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Content 03. Approve the audited Financial Statements for 2023 </w:t>
      </w:r>
    </w:p>
    <w:p w14:paraId="32243C76"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Content 04. Approve the adjustment of the 2022 dividend payment plan from the method of paying dividends in shares to the method of paying dividends in cash, at the rate of 5% of charter capital.</w:t>
      </w:r>
    </w:p>
    <w:p w14:paraId="333054B5"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Content 05. Approve the profit distribution plan in 2023: </w:t>
      </w:r>
    </w:p>
    <w:p w14:paraId="602E756D"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Approve the plan to make appropriations to funds and distribute profits of LICOGI 14 in 2023 as follows: </w:t>
      </w:r>
    </w:p>
    <w:p w14:paraId="715BAFFC"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 Total profit before tax in 2023: VND 30,486,721,609</w:t>
      </w:r>
    </w:p>
    <w:p w14:paraId="657B4B22"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(II) Profit after corporate income tax in 2023: VND 24,220,354,383</w:t>
      </w:r>
    </w:p>
    <w:p w14:paraId="45FE4978"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(III) Appropriation to funds: VND 2,422,035,438</w:t>
      </w:r>
    </w:p>
    <w:p w14:paraId="47554C92"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Appropriation for investment and development fund (5% of profit after tax) VND 1,211,017,719</w:t>
      </w:r>
    </w:p>
    <w:p w14:paraId="2E675DEC"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Appropriation for bonus and welfare fund (5% of profit after tax): VND 1,211,017,719</w:t>
      </w:r>
    </w:p>
    <w:p w14:paraId="4E8AFB41"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(IV) Funding for planning of the Project of high-class ecological resort combined with residential area of Phuong Mao Lake and experience tourism of Da Mai Waterfall, Thanh Son and Thanh Thuy districts,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province: VND 3,000,000,000</w:t>
      </w:r>
    </w:p>
    <w:p w14:paraId="44D5C242"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 Dividend payment for 2023: 0</w:t>
      </w:r>
    </w:p>
    <w:p w14:paraId="578A290E"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(VI) Remaining profit after tax after appropriation to funds (=II-III-IV): VND 18,798,318,945</w:t>
      </w:r>
    </w:p>
    <w:p w14:paraId="6A55D813"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authorizes the Board of Directors, based on the above distribution plan, to balance between the sources and the results of business activities according to the annual audited Financial Statements to make appropriations to funds and additional sources as prescribed.</w:t>
      </w:r>
    </w:p>
    <w:p w14:paraId="7A4F3082"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Content 06. Approve the settlement of salaries and remuneration of the Board of Directors, the Supervisory Board, the Secretariat of the Board of Directors in 2023 and the proposed remuneration level for 2024 </w:t>
      </w:r>
    </w:p>
    <w:p w14:paraId="4B04E2BD"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Content 07. Approve the selection of an independent audit company to audit the Financial Statements 2024. </w:t>
      </w:r>
    </w:p>
    <w:p w14:paraId="157B3BB6" w14:textId="77777777" w:rsidR="00334F1D" w:rsidRDefault="002E2462" w:rsidP="00F92E29">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Terms of enforcement</w:t>
      </w:r>
    </w:p>
    <w:p w14:paraId="33AE80CC" w14:textId="77777777" w:rsidR="00334F1D" w:rsidRDefault="002E2462" w:rsidP="00F92E29">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 xml:space="preserve">This General Mandate consists of 07 Contents and 02 Articles, has been fully approved by the Annual General Meeting of Shareholders in 2024 of </w:t>
      </w:r>
      <w:proofErr w:type="spellStart"/>
      <w:r>
        <w:rPr>
          <w:rFonts w:ascii="Arial" w:hAnsi="Arial"/>
          <w:sz w:val="20"/>
        </w:rPr>
        <w:t>Licogi</w:t>
      </w:r>
      <w:proofErr w:type="spellEnd"/>
      <w:r>
        <w:rPr>
          <w:rFonts w:ascii="Arial" w:hAnsi="Arial"/>
          <w:sz w:val="20"/>
        </w:rPr>
        <w:t xml:space="preserve"> 14 JSC with a 100% approval rate of the voting shares at the Meeting and takes effect from the date of signing.</w:t>
      </w:r>
    </w:p>
    <w:p w14:paraId="488FD71E" w14:textId="77777777" w:rsidR="00334F1D" w:rsidRDefault="002E2462" w:rsidP="00F92E29">
      <w:pPr>
        <w:numPr>
          <w:ilvl w:val="0"/>
          <w:numId w:val="2"/>
        </w:numPr>
        <w:pBdr>
          <w:top w:val="nil"/>
          <w:left w:val="nil"/>
          <w:bottom w:val="nil"/>
          <w:right w:val="nil"/>
          <w:between w:val="nil"/>
        </w:pBdr>
        <w:tabs>
          <w:tab w:val="left" w:pos="180"/>
        </w:tabs>
        <w:spacing w:after="120" w:line="360" w:lineRule="auto"/>
        <w:jc w:val="both"/>
        <w:rPr>
          <w:rFonts w:ascii="Arial" w:eastAsia="Arial" w:hAnsi="Arial" w:cs="Arial"/>
          <w:sz w:val="20"/>
          <w:szCs w:val="20"/>
        </w:rPr>
      </w:pPr>
      <w:r>
        <w:rPr>
          <w:rFonts w:ascii="Arial" w:hAnsi="Arial"/>
          <w:sz w:val="20"/>
        </w:rPr>
        <w:t xml:space="preserve">Members of the Board of Directors, the </w:t>
      </w:r>
      <w:bookmarkStart w:id="0" w:name="_GoBack"/>
      <w:bookmarkEnd w:id="0"/>
      <w:r>
        <w:rPr>
          <w:rFonts w:ascii="Arial" w:hAnsi="Arial"/>
          <w:sz w:val="20"/>
        </w:rPr>
        <w:t>Supervisory Board, the Board of Management, and functional departments, based on their functions, tasks and powers, are responsible for organizing and implementing the contents of this General Mandate in accordance with the provisions of the Law and the Company's Charter./.</w:t>
      </w:r>
    </w:p>
    <w:sectPr w:rsidR="00334F1D">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DD0"/>
    <w:multiLevelType w:val="multilevel"/>
    <w:tmpl w:val="6840FC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DE09C9"/>
    <w:multiLevelType w:val="multilevel"/>
    <w:tmpl w:val="34EA62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1D"/>
    <w:rsid w:val="002E2462"/>
    <w:rsid w:val="00334F1D"/>
    <w:rsid w:val="00F9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3811"/>
  <w15:docId w15:val="{00F3688F-117C-40DC-90D6-8C07580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paragraph" w:styleId="BodyText">
    <w:name w:val="Body Text"/>
    <w:basedOn w:val="Normal"/>
    <w:link w:val="BodyTextChar"/>
    <w:qFormat/>
    <w:pPr>
      <w:spacing w:line="324" w:lineRule="auto"/>
      <w:ind w:firstLine="60"/>
    </w:pPr>
    <w:rPr>
      <w:rFonts w:ascii="Times New Roman" w:eastAsia="Times New Roman" w:hAnsi="Times New Roman" w:cs="Times New Roman"/>
      <w:sz w:val="22"/>
      <w:szCs w:val="22"/>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260"/>
    </w:pPr>
    <w:rPr>
      <w:rFonts w:ascii="Times New Roman" w:eastAsia="Times New Roman" w:hAnsi="Times New Roman" w:cs="Times New Roman"/>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Y2R3j98HXZyI9D1HHMwrzvCA9A==">CgMxLjA4AHIhMVV5NHA2TTRBemVGdUo2aF9SOUdIUEkySXhPRkVXNkJH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2024-05-04T04:10:00Z</dcterms:created>
  <dcterms:modified xsi:type="dcterms:W3CDTF">2024-05-06T04:11:00Z</dcterms:modified>
</cp:coreProperties>
</file>