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9B9A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2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L63:</w:t>
      </w:r>
      <w:r>
        <w:rPr>
          <w:rFonts w:ascii="Arial" w:hAnsi="Arial"/>
          <w:b/>
          <w:color w:val="010000"/>
          <w:sz w:val="20"/>
        </w:rPr>
        <w:t xml:space="preserve"> Annual General Mandate 2024</w:t>
      </w:r>
    </w:p>
    <w:p w14:paraId="10904F12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69-3 Joint Stock Company announced General Mandate No. 01/NQ-DHDCD as follows:</w:t>
      </w:r>
    </w:p>
    <w:p w14:paraId="0B361D24" w14:textId="0942FC09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Approve the Report of the Supervisory Board; Detailed content in the Report on production and business activities, dated April 2, 2024 by the </w:t>
      </w:r>
      <w:r w:rsidR="007427FB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of the Company enclosed. The main contents are as follows: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3932"/>
      </w:tblGrid>
      <w:tr w:rsidR="00776C82" w14:paraId="559095E8" w14:textId="77777777">
        <w:tc>
          <w:tcPr>
            <w:tcW w:w="5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9903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 Results of production and business activities in 2023:</w:t>
            </w:r>
          </w:p>
          <w:p w14:paraId="02E2E501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capital:</w:t>
            </w:r>
          </w:p>
          <w:p w14:paraId="557813D4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  <w:p w14:paraId="7A9D9C42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tax:</w:t>
            </w:r>
          </w:p>
          <w:p w14:paraId="0B808492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Budget payments</w:t>
            </w:r>
          </w:p>
          <w:p w14:paraId="5C6A7A6D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number of employees</w:t>
            </w:r>
          </w:p>
          <w:p w14:paraId="7BE799EF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Development investment:</w:t>
            </w:r>
          </w:p>
          <w:p w14:paraId="7F096D11" w14:textId="77777777" w:rsidR="00776C82" w:rsidRDefault="00455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A2023" w14:textId="77777777" w:rsidR="00776C82" w:rsidRDefault="007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449F950A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82.79 billion</w:t>
            </w:r>
          </w:p>
          <w:p w14:paraId="39256E8F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600 billion</w:t>
            </w:r>
          </w:p>
          <w:p w14:paraId="6C0F3A30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3.84 billion</w:t>
            </w:r>
          </w:p>
          <w:p w14:paraId="1F384644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19.40 billion.</w:t>
            </w:r>
          </w:p>
          <w:p w14:paraId="4CEC57DF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900 person</w:t>
            </w:r>
          </w:p>
          <w:p w14:paraId="21F3F68E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VND 7.7 billion </w:t>
            </w:r>
          </w:p>
          <w:p w14:paraId="274678AF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776C82" w14:paraId="49E7B8A0" w14:textId="77777777">
        <w:tc>
          <w:tcPr>
            <w:tcW w:w="5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3D84C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 Production and business plan for 2024:</w:t>
            </w:r>
          </w:p>
          <w:p w14:paraId="281DAE7B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capital:</w:t>
            </w:r>
          </w:p>
          <w:p w14:paraId="15BB7A7B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  <w:p w14:paraId="54567356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tax:</w:t>
            </w:r>
          </w:p>
          <w:p w14:paraId="13937BFE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Budget payments</w:t>
            </w:r>
          </w:p>
          <w:p w14:paraId="1C087945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number of employees</w:t>
            </w:r>
          </w:p>
          <w:p w14:paraId="0C21162D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Development investment:</w:t>
            </w:r>
          </w:p>
          <w:p w14:paraId="6C5C621C" w14:textId="77777777" w:rsidR="00776C82" w:rsidRDefault="00455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rate</w:t>
            </w:r>
          </w:p>
        </w:tc>
        <w:tc>
          <w:tcPr>
            <w:tcW w:w="3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CBAFE" w14:textId="77777777" w:rsidR="00776C82" w:rsidRDefault="007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620E6EA0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82.79 billion</w:t>
            </w:r>
          </w:p>
          <w:p w14:paraId="5EB6CD7C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620 billion</w:t>
            </w:r>
          </w:p>
          <w:p w14:paraId="25F5F453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2.5 billion</w:t>
            </w:r>
          </w:p>
          <w:p w14:paraId="67AAEBAB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7 billion</w:t>
            </w:r>
          </w:p>
          <w:p w14:paraId="231FDEF5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900 person</w:t>
            </w:r>
          </w:p>
          <w:p w14:paraId="18B91CB2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150 billion</w:t>
            </w:r>
          </w:p>
          <w:p w14:paraId="108E9B47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</w:tbl>
    <w:p w14:paraId="59A2B70D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Report on the activities of the Board of Directors. Detailed content according to the Report of the Board of Directors of the Company dated April 2, 2024 enclosed.</w:t>
      </w:r>
    </w:p>
    <w:p w14:paraId="52556143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Approve the restructuring project of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69-3 Joint Stock Company for the period 2024-2025: Detailed content according to the restructuring project of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69-3 Joint Stock Company for the period 2024-2025 enclosed.</w:t>
      </w:r>
    </w:p>
    <w:p w14:paraId="308124A0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Report on the activities of the Supervisory Board. Detailed content according to the Report of the Supervisory Board of the Company dated March 20, 2024 enclosed.</w:t>
      </w:r>
    </w:p>
    <w:p w14:paraId="6566ED6F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5: Approve the Audited Financial Statements 2023; Detailed content according to Proposal No. 01/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-HDQT, dated April 2, 2024 of the Board of Directors of the Company and the audited Financial Statements for 2023 enclosed.</w:t>
      </w:r>
    </w:p>
    <w:p w14:paraId="38AF96F6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Article 6: Approve the profit distribution plan in 2023. Detailed content according to Proposal No. 02/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-HDQT, dated April 2, 2024 of the Board of Directors of the Company.</w:t>
      </w:r>
    </w:p>
    <w:p w14:paraId="433F3AD3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for distribution of profit after tax in 2023: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172"/>
        <w:gridCol w:w="1181"/>
        <w:gridCol w:w="1948"/>
        <w:gridCol w:w="969"/>
      </w:tblGrid>
      <w:tr w:rsidR="00776C82" w14:paraId="07D79602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09A39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97A49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52CD7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62AA5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EBD0D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776C82" w14:paraId="07E42699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28EFC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44599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carried forward from previous years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EAF5D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A3FC6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(24,572,016,615)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8997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C82" w14:paraId="44306CE3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96CA9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A6843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2023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E9626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31868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3,841,733,985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C1724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C82" w14:paraId="1900E35E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E0BC5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64D19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plan 2023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88B54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5E7CA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9F4CC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C82" w14:paraId="2D15AA06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5BE6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56A61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EDB1E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4=1+2-3</w:t>
            </w: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8B323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(20,730,282,630)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D2A1E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C82" w14:paraId="7DC9171D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87C07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AD5D6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(0%)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A3C8D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19D7A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32A42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76C82" w14:paraId="44BBFAEE" w14:textId="77777777">
        <w:tc>
          <w:tcPr>
            <w:tcW w:w="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8BE61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4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C590A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distribution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0D19C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6=4-5</w:t>
            </w:r>
          </w:p>
        </w:tc>
        <w:tc>
          <w:tcPr>
            <w:tcW w:w="19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64CFA" w14:textId="77777777" w:rsidR="00776C82" w:rsidRDefault="0045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(20,730,282,630)</w:t>
            </w:r>
          </w:p>
        </w:tc>
        <w:tc>
          <w:tcPr>
            <w:tcW w:w="9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3DDAC" w14:textId="77777777" w:rsidR="00776C82" w:rsidRDefault="00776C82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A96686E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7: Approve the remuneration for the Board of Directors and the Supervisory Board in 2024: Detailed content according to Proposal No. 03/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-HDQT, dated April 2, 2024 of the Board of Directors of the Company. In which:</w:t>
      </w:r>
    </w:p>
    <w:p w14:paraId="77313A58" w14:textId="77777777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salary and remuneration:  VND 744,000,000; In which:</w:t>
      </w:r>
    </w:p>
    <w:p w14:paraId="369841DF" w14:textId="195E5F76" w:rsidR="00776C82" w:rsidRDefault="00455298" w:rsidP="0074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salary and remuneration of the Board of Directors: VND 528,000,000 (of which executive salary is </w:t>
      </w:r>
      <w:r w:rsidR="007427FB">
        <w:rPr>
          <w:rFonts w:ascii="Arial" w:hAnsi="Arial"/>
          <w:color w:val="010000"/>
          <w:sz w:val="20"/>
        </w:rPr>
        <w:t>VND 384,000,000 and</w:t>
      </w:r>
      <w:bookmarkStart w:id="0" w:name="_GoBack"/>
      <w:bookmarkEnd w:id="0"/>
      <w:r w:rsidR="007427FB">
        <w:rPr>
          <w:rFonts w:ascii="Arial" w:hAnsi="Arial"/>
          <w:color w:val="010000"/>
          <w:sz w:val="20"/>
        </w:rPr>
        <w:t xml:space="preserve"> remuneration</w:t>
      </w:r>
      <w:r>
        <w:rPr>
          <w:rFonts w:ascii="Arial" w:hAnsi="Arial"/>
          <w:color w:val="010000"/>
          <w:sz w:val="20"/>
        </w:rPr>
        <w:t xml:space="preserve"> VND 144,000,000).</w:t>
      </w:r>
    </w:p>
    <w:p w14:paraId="0A23E441" w14:textId="346A879D" w:rsidR="00776C82" w:rsidRDefault="00455298" w:rsidP="0074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salary and remuneration of members of the Supervisory Board:  VND 216,000,000 (of which exec</w:t>
      </w:r>
      <w:r w:rsidR="007427FB">
        <w:rPr>
          <w:rFonts w:ascii="Arial" w:hAnsi="Arial"/>
          <w:color w:val="010000"/>
          <w:sz w:val="20"/>
        </w:rPr>
        <w:t>utive salary is VND 180,000,000 and remuneration</w:t>
      </w:r>
      <w:r>
        <w:rPr>
          <w:rFonts w:ascii="Arial" w:hAnsi="Arial"/>
          <w:color w:val="010000"/>
          <w:sz w:val="20"/>
        </w:rPr>
        <w:t xml:space="preserve"> VND 36,000,000).</w:t>
      </w:r>
    </w:p>
    <w:p w14:paraId="1DF835BB" w14:textId="03759AFE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8: Approve the authorization for the Board of Directors of the Company to approve the selection of an independent audit company to audit the Financial Statements of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69-3 Joint Stock Company in 2024: </w:t>
      </w:r>
    </w:p>
    <w:p w14:paraId="56320F8A" w14:textId="1732C365" w:rsidR="00776C82" w:rsidRDefault="00455298" w:rsidP="007427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9: This General Mandate takes effect from the date of signing. Members of the Board o</w:t>
      </w:r>
      <w:r w:rsidR="007427FB">
        <w:rPr>
          <w:rFonts w:ascii="Arial" w:hAnsi="Arial"/>
          <w:color w:val="010000"/>
          <w:sz w:val="20"/>
        </w:rPr>
        <w:t>f Directors, Supervisory Board and Executive Board</w:t>
      </w:r>
      <w:r>
        <w:rPr>
          <w:rFonts w:ascii="Arial" w:hAnsi="Arial"/>
          <w:color w:val="010000"/>
          <w:sz w:val="20"/>
        </w:rPr>
        <w:t xml:space="preserve">, departments and units, shareholders and related individuals of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69-3 Joint Stock Company are responsible for implementing this General Mandate </w:t>
      </w:r>
      <w:r w:rsidR="007427FB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and the Company's Charter.</w:t>
      </w:r>
    </w:p>
    <w:sectPr w:rsidR="00776C82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917"/>
    <w:multiLevelType w:val="multilevel"/>
    <w:tmpl w:val="7F56744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17300E"/>
    <w:multiLevelType w:val="multilevel"/>
    <w:tmpl w:val="A75627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53006EA"/>
    <w:multiLevelType w:val="multilevel"/>
    <w:tmpl w:val="C5B0A2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2"/>
    <w:rsid w:val="00455298"/>
    <w:rsid w:val="007427FB"/>
    <w:rsid w:val="007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537B"/>
  <w15:docId w15:val="{D2EEF3B9-646E-4AD4-B007-7E39FB3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left="3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21" w:lineRule="auto"/>
      <w:ind w:left="3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30">
    <w:name w:val="Tiêu đề #3"/>
    <w:basedOn w:val="Normal"/>
    <w:link w:val="Tiu3"/>
    <w:pPr>
      <w:spacing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156" w:lineRule="auto"/>
      <w:ind w:left="3740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pPr>
      <w:spacing w:line="295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4lsNFnxBdw/A1oUvgLyLYXH5RA==">CgMxLjA4AHIhMUlYNHpDcUVDdHl5dXdEQkFFZm1rQ01MUDE2X0tLWTlz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2024-05-06T04:43:00Z</dcterms:created>
  <dcterms:modified xsi:type="dcterms:W3CDTF">2024-05-06T04:43:00Z</dcterms:modified>
</cp:coreProperties>
</file>