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PWS: Annual General Mandate 2024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26, 2024, Phu Yen Water Supply and Sewerage Joint Stock Company announced General Mandate No. 01/2024/NQ-DHDCD as follows: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1. Approve the following contents:</w:t>
      </w:r>
    </w:p>
    <w:p w:rsidR="009C1D99" w:rsidRDefault="00E26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production and business results, investment and development in 2023:</w:t>
      </w:r>
    </w:p>
    <w:p w:rsidR="009C1D99" w:rsidRDefault="00E26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2027"/>
        <w:gridCol w:w="969"/>
        <w:gridCol w:w="1513"/>
        <w:gridCol w:w="1360"/>
        <w:gridCol w:w="1252"/>
        <w:gridCol w:w="1214"/>
      </w:tblGrid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Plan 2023 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Results 2023 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Comparison with the plan (%)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Plan 2022 (%)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Water production volume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14,296,000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14,890,642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104.2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3.9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Consumption water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11,718,000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11,922,759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101.7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4.4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loss rate 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19.9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Increased by 1.9%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 w:rsidP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Decreased by 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>0.4%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and income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131,000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137,062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104.6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15.5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Clean water production and business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123,000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125,059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101.7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18.0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Other business activities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2,865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95.5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-21.4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Financial activities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9,125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182.5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8.3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-97.8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19,500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33,767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173.2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88.5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state budget: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13,370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95.5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27.2</w:t>
            </w:r>
          </w:p>
        </w:tc>
      </w:tr>
      <w:tr w:rsidR="009C1D99"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rate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7.5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187.5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114.28</w:t>
            </w:r>
          </w:p>
        </w:tc>
      </w:tr>
    </w:tbl>
    <w:p w:rsidR="009C1D99" w:rsidRDefault="00E26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Investment and development results in 2023:</w:t>
      </w:r>
    </w:p>
    <w:tbl>
      <w:tblPr>
        <w:tblStyle w:val="a0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"/>
        <w:gridCol w:w="2859"/>
        <w:gridCol w:w="1748"/>
        <w:gridCol w:w="1788"/>
        <w:gridCol w:w="1880"/>
      </w:tblGrid>
      <w:tr w:rsidR="009C1D99">
        <w:tc>
          <w:tcPr>
            <w:tcW w:w="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resource</w:t>
            </w:r>
          </w:p>
        </w:tc>
        <w:tc>
          <w:tcPr>
            <w:tcW w:w="1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capital (Million VND)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Realized plan in 2023: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Completion rate per plan (%)</w:t>
            </w:r>
          </w:p>
        </w:tc>
      </w:tr>
      <w:tr w:rsidR="009C1D99">
        <w:tc>
          <w:tcPr>
            <w:tcW w:w="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raised from shareholders</w:t>
            </w:r>
          </w:p>
        </w:tc>
        <w:tc>
          <w:tcPr>
            <w:tcW w:w="1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64,500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1,908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2.96</w:t>
            </w:r>
          </w:p>
        </w:tc>
      </w:tr>
      <w:tr w:rsidR="009C1D99">
        <w:tc>
          <w:tcPr>
            <w:tcW w:w="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Enterprise's capital </w:t>
            </w:r>
          </w:p>
        </w:tc>
        <w:tc>
          <w:tcPr>
            <w:tcW w:w="1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79,670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49,800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62.5</w:t>
            </w:r>
          </w:p>
        </w:tc>
      </w:tr>
      <w:tr w:rsidR="009C1D99">
        <w:tc>
          <w:tcPr>
            <w:tcW w:w="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Loan capital</w:t>
            </w:r>
          </w:p>
        </w:tc>
        <w:tc>
          <w:tcPr>
            <w:tcW w:w="1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30,000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9C1D99">
        <w:tc>
          <w:tcPr>
            <w:tcW w:w="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174,170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51,708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29.7</w:t>
            </w:r>
          </w:p>
        </w:tc>
      </w:tr>
    </w:tbl>
    <w:p w:rsidR="009C1D99" w:rsidRDefault="00E26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Investment and development plan for 2024: </w:t>
      </w:r>
    </w:p>
    <w:p w:rsidR="009C1D99" w:rsidRDefault="00E26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2024: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3887"/>
        <w:gridCol w:w="1708"/>
        <w:gridCol w:w="2684"/>
      </w:tblGrid>
      <w:tr w:rsidR="009C1D99"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8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2024 Plan</w:t>
            </w:r>
          </w:p>
        </w:tc>
      </w:tr>
      <w:tr w:rsidR="009C1D99"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8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and income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136,200</w:t>
            </w:r>
          </w:p>
        </w:tc>
      </w:tr>
      <w:tr w:rsidR="009C1D99"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8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30,000</w:t>
            </w:r>
          </w:p>
        </w:tc>
      </w:tr>
      <w:tr w:rsidR="009C1D99"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8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state budget: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13,500</w:t>
            </w:r>
          </w:p>
        </w:tc>
      </w:tr>
      <w:tr w:rsidR="009C1D99">
        <w:tc>
          <w:tcPr>
            <w:tcW w:w="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8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rate</w:t>
            </w:r>
          </w:p>
        </w:tc>
        <w:tc>
          <w:tcPr>
            <w:tcW w:w="1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4.0</w:t>
            </w:r>
          </w:p>
        </w:tc>
      </w:tr>
    </w:tbl>
    <w:p w:rsidR="009C1D99" w:rsidRDefault="00E26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Investment and development plan 2024.</w:t>
      </w:r>
    </w:p>
    <w:p w:rsidR="009C1D99" w:rsidRDefault="00E26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capital for 2024: VND 171,550 million, in which:</w:t>
      </w:r>
    </w:p>
    <w:p w:rsidR="009C1D99" w:rsidRDefault="00E26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Capital raised from shareholders: VND 49,000 million; </w:t>
      </w:r>
    </w:p>
    <w:p w:rsidR="009C1D99" w:rsidRDefault="00E26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Enterprise's capital:</w:t>
      </w:r>
      <w:r>
        <w:rPr>
          <w:rFonts w:ascii="Arial" w:hAnsi="Arial"/>
          <w:color w:val="010000"/>
          <w:sz w:val="20"/>
        </w:rPr>
        <w:t xml:space="preserve"> VND 41,550 million;</w:t>
      </w:r>
    </w:p>
    <w:p w:rsidR="009C1D99" w:rsidRDefault="00E26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Loan capital: VND 81,000 million;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Including: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Projects carried over from 2023:</w:t>
      </w:r>
    </w:p>
    <w:p w:rsidR="009C1D99" w:rsidRDefault="00E26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capital of VND 148,050 million:</w:t>
      </w:r>
    </w:p>
    <w:p w:rsidR="009C1D99" w:rsidRDefault="00E26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Capital raised from shareholders: </w:t>
      </w:r>
      <w:r>
        <w:rPr>
          <w:rFonts w:ascii="Arial" w:hAnsi="Arial"/>
          <w:color w:val="010000"/>
          <w:sz w:val="20"/>
        </w:rPr>
        <w:t>VND 49,000 million</w:t>
      </w:r>
    </w:p>
    <w:p w:rsidR="009C1D99" w:rsidRDefault="00E26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Enterprise's capital: VND 18,050 million;</w:t>
      </w:r>
    </w:p>
    <w:p w:rsidR="009C1D99" w:rsidRDefault="00E26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Loan capital: </w:t>
      </w:r>
      <w:r>
        <w:rPr>
          <w:rFonts w:ascii="Arial" w:hAnsi="Arial"/>
          <w:color w:val="010000"/>
          <w:sz w:val="20"/>
        </w:rPr>
        <w:t>VND 81,000 million;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New investment projects in 2024:</w:t>
      </w:r>
    </w:p>
    <w:p w:rsidR="009C1D99" w:rsidRDefault="00E26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capital of VND 23,500 million:</w:t>
      </w:r>
    </w:p>
    <w:p w:rsidR="009C1D99" w:rsidRDefault="00E26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4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Capital raised from shareholders:</w:t>
      </w:r>
      <w:r>
        <w:rPr>
          <w:rFonts w:ascii="Arial" w:hAnsi="Arial"/>
          <w:color w:val="010000"/>
          <w:sz w:val="20"/>
        </w:rPr>
        <w:t xml:space="preserve"> VND 0 million;</w:t>
      </w:r>
    </w:p>
    <w:p w:rsidR="009C1D99" w:rsidRDefault="00E26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4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Enterprise's capital: </w:t>
      </w:r>
      <w:r>
        <w:rPr>
          <w:rFonts w:ascii="Arial" w:hAnsi="Arial"/>
          <w:color w:val="010000"/>
          <w:sz w:val="20"/>
        </w:rPr>
        <w:t>VND 23,500 million;</w:t>
      </w:r>
    </w:p>
    <w:p w:rsidR="009C1D99" w:rsidRDefault="00E26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4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Loan capital:</w:t>
      </w:r>
      <w:r>
        <w:rPr>
          <w:rFonts w:ascii="Arial" w:hAnsi="Arial"/>
          <w:color w:val="010000"/>
          <w:sz w:val="20"/>
        </w:rPr>
        <w:t xml:space="preserve"> VND 0 million;</w:t>
      </w:r>
    </w:p>
    <w:p w:rsidR="009C1D99" w:rsidRDefault="00E26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Report on activities of the Board of Directors in 2023 and Operational Plan for 2024;</w:t>
      </w:r>
    </w:p>
    <w:p w:rsidR="009C1D99" w:rsidRDefault="00E26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activities in 2023 and work plan for 2024 of the Supervisory Board</w:t>
      </w:r>
    </w:p>
    <w:p w:rsidR="009C1D99" w:rsidRDefault="00E26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Audited Financ</w:t>
      </w:r>
      <w:r>
        <w:rPr>
          <w:rFonts w:ascii="Arial" w:hAnsi="Arial"/>
          <w:color w:val="010000"/>
          <w:sz w:val="20"/>
        </w:rPr>
        <w:t>ial Statements 2023.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Decide the following contents:</w:t>
      </w:r>
    </w:p>
    <w:p w:rsidR="009C1D99" w:rsidRDefault="00E26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Decide the plan for profit distribution in 2023 and the profit distribution plan for 2024:</w:t>
      </w:r>
    </w:p>
    <w:p w:rsidR="009C1D99" w:rsidRDefault="00E26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for profit distribution and dividend payment in 2023: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"/>
        <w:gridCol w:w="3833"/>
        <w:gridCol w:w="842"/>
        <w:gridCol w:w="1782"/>
        <w:gridCol w:w="1905"/>
      </w:tblGrid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 in 2023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19,500,000,000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33,766,596,106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 payment in 2023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3,190,822,029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2.7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3,122,533,560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Deferred corporate income tax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68,288,469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2023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30,575,774,077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 (5%)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1,528,788,704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fund appropriation in 2023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29,046,985,373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profit from previous years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1,505,509,487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7.7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rate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4.0%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7.5%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7.2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Dividends payable 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15,345,431,600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28,772,684,250</w:t>
            </w:r>
          </w:p>
        </w:tc>
      </w:tr>
      <w:tr w:rsidR="009C1D99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8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(8=5+6-7.2)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1,779,810,610</w:t>
            </w:r>
          </w:p>
        </w:tc>
      </w:tr>
    </w:tbl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Payment method: In cash or by bank transfer;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time: Q3/2024</w:t>
      </w:r>
    </w:p>
    <w:p w:rsidR="009C1D99" w:rsidRDefault="00E26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 for 2024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According to the business plan for 2024, the expected plan to use profit after tax in 2024 is as follows: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4978"/>
        <w:gridCol w:w="1412"/>
        <w:gridCol w:w="1935"/>
      </w:tblGrid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 in 2024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30,000,000,000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 payment in 2024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2,730,000,000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2024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27,270,000,000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development investment fund in 2024: No appropriation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 (5%)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1,363,500,000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Accumulated profit from previous years 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1,779,810,610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rate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4.0%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Dividends payable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15,345,431,600</w:t>
            </w:r>
          </w:p>
        </w:tc>
      </w:tr>
      <w:tr w:rsidR="009C1D99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for accumulation</w:t>
            </w:r>
          </w:p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(9)=(3)-(4)-(5)+(6)-(8)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12,340,879,010</w:t>
            </w:r>
          </w:p>
        </w:tc>
      </w:tr>
    </w:tbl>
    <w:p w:rsidR="009C1D99" w:rsidRDefault="00E26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Finalize the remuneration fund for members of the Board of Directors, Supervisors, Person in charge of Corporate Governance -cum- Secretariat of the Company in 2023; planned remuneration fund for 2024:</w:t>
      </w:r>
      <w:r>
        <w:rPr>
          <w:rFonts w:ascii="Arial" w:hAnsi="Arial"/>
          <w:color w:val="010000"/>
          <w:sz w:val="20"/>
        </w:rPr>
        <w:t xml:space="preserve"> </w:t>
      </w:r>
    </w:p>
    <w:p w:rsidR="009C1D99" w:rsidRDefault="00E26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Finalize the remuneration fund for members of the Boa</w:t>
      </w:r>
      <w:r>
        <w:rPr>
          <w:rFonts w:ascii="Arial" w:hAnsi="Arial"/>
          <w:color w:val="010000"/>
          <w:sz w:val="20"/>
        </w:rPr>
        <w:t xml:space="preserve">rd of Directors, Supervisors and Person in charge of Corporate Governance -cum- Secretariat of the Company in 2023: 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4338"/>
        <w:gridCol w:w="1867"/>
        <w:gridCol w:w="2145"/>
      </w:tblGrid>
      <w:tr w:rsidR="009C1D99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8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</w:tr>
      <w:tr w:rsidR="009C1D99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for members of the Board of Directors, Supervisors, Person in charge of Corporate Governance -cum- Secretariat of the Company</w:t>
            </w:r>
          </w:p>
        </w:tc>
        <w:tc>
          <w:tcPr>
            <w:tcW w:w="18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426,000,000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426,000,000</w:t>
            </w:r>
          </w:p>
        </w:tc>
      </w:tr>
      <w:tr w:rsidR="009C1D99">
        <w:tc>
          <w:tcPr>
            <w:tcW w:w="500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8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426,000,000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426,000,000</w:t>
            </w:r>
          </w:p>
        </w:tc>
      </w:tr>
    </w:tbl>
    <w:p w:rsidR="009C1D99" w:rsidRDefault="00E26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Planned remuneration fund for members of the Board of Directors, Supervisors and Person in charge of Corporate Governance -cum- Secretariat of the Company in 2024: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5579"/>
        <w:gridCol w:w="2771"/>
      </w:tblGrid>
      <w:tr w:rsidR="009C1D99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5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9C1D99">
        <w:tc>
          <w:tcPr>
            <w:tcW w:w="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5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for members of the Board of Directors, Supervisors, Person in charge of Corporate Governance -cum- Secretariat of the Company</w:t>
            </w:r>
          </w:p>
        </w:tc>
        <w:tc>
          <w:tcPr>
            <w:tcW w:w="2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426,000,000</w:t>
            </w:r>
          </w:p>
        </w:tc>
      </w:tr>
    </w:tbl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Approve the List of Independent Audit Companies to perform the audit of the Financial State</w:t>
      </w:r>
      <w:r>
        <w:rPr>
          <w:rFonts w:ascii="Arial" w:hAnsi="Arial"/>
          <w:color w:val="010000"/>
          <w:sz w:val="20"/>
        </w:rPr>
        <w:t>ments for the year 2024:</w:t>
      </w:r>
    </w:p>
    <w:tbl>
      <w:tblPr>
        <w:tblStyle w:val="a6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3261"/>
        <w:gridCol w:w="2361"/>
      </w:tblGrid>
      <w:tr w:rsidR="009C1D99">
        <w:tc>
          <w:tcPr>
            <w:tcW w:w="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Company name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Address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9C1D99">
        <w:tc>
          <w:tcPr>
            <w:tcW w:w="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A&amp;C Auditing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Consulting Company Limited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02 Truong Son, Ward 2, Tan Binh,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Ho Chi Minh city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Performed audits in 2019,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 and many previous years for the company</w:t>
            </w:r>
          </w:p>
        </w:tc>
      </w:tr>
      <w:tr w:rsidR="009C1D99">
        <w:tc>
          <w:tcPr>
            <w:tcW w:w="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Nha Trang Branch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Lot STH 06A.01, Street No. 13, Le Hong Phong II Urban Area, Phuoc Hai Ward, Nha Trang City, Khanh Hoa Province.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1D99">
        <w:tc>
          <w:tcPr>
            <w:tcW w:w="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Moore AISC Auditing and Informatics Services Company Limited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389A Dien Bien Phu, Ward 4, District 3, Ho Chi Minh City Performed audit i</w:t>
            </w:r>
            <w:r>
              <w:rPr>
                <w:rFonts w:ascii="Arial" w:hAnsi="Arial"/>
                <w:color w:val="010000"/>
                <w:sz w:val="20"/>
              </w:rPr>
              <w:t>n 2018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Implemented the audit for the Company in 2018</w:t>
            </w:r>
          </w:p>
        </w:tc>
      </w:tr>
      <w:tr w:rsidR="009C1D99">
        <w:tc>
          <w:tcPr>
            <w:tcW w:w="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Branch of Deloitte Vietnam Co., Ltd. 18th Floor, Times Square Building, 57-69F Dong Khoi Street, Ben Nghe Ward, District 1, Ho Chi Minh City</w:t>
            </w:r>
          </w:p>
          <w:p w:rsidR="009C1D99" w:rsidRDefault="009C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1D99">
        <w:tc>
          <w:tcPr>
            <w:tcW w:w="8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Ernst &amp; Young Viet Nam Limited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E2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 Hai Trieu, Ben Nghe Ward, District 1, Ho Chi Minh City.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C1D99" w:rsidRDefault="009C1D9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 General Mandate in 2024 of Phu Yen Water Supply and Sewerage Joint Stock Company is fully approved at the General Meeting.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 Board of Directors, the Supervisory Board and the Board of Management are responsible for the implementation of this General Mandate.</w:t>
      </w:r>
    </w:p>
    <w:p w:rsidR="009C1D99" w:rsidRDefault="00E26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Mandate takes effect from the date of its signing.</w:t>
      </w:r>
    </w:p>
    <w:sectPr w:rsidR="009C1D99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A0D"/>
    <w:multiLevelType w:val="multilevel"/>
    <w:tmpl w:val="8728716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D42308"/>
    <w:multiLevelType w:val="multilevel"/>
    <w:tmpl w:val="3CDAC3B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426AF4"/>
    <w:multiLevelType w:val="multilevel"/>
    <w:tmpl w:val="DF94D1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75A2"/>
    <w:multiLevelType w:val="multilevel"/>
    <w:tmpl w:val="1C7AC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2E9C"/>
    <w:multiLevelType w:val="multilevel"/>
    <w:tmpl w:val="BC86FA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23CA"/>
    <w:multiLevelType w:val="multilevel"/>
    <w:tmpl w:val="552855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6EBD"/>
    <w:multiLevelType w:val="multilevel"/>
    <w:tmpl w:val="309AF5E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2585FC7"/>
    <w:multiLevelType w:val="multilevel"/>
    <w:tmpl w:val="25E66A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DBF565C"/>
    <w:multiLevelType w:val="multilevel"/>
    <w:tmpl w:val="C316D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02B8"/>
    <w:multiLevelType w:val="multilevel"/>
    <w:tmpl w:val="15A00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99"/>
    <w:rsid w:val="009C1D99"/>
    <w:rsid w:val="00E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2A824-ABFE-406C-908C-F62B6A1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6D636C"/>
      <w:sz w:val="8"/>
      <w:szCs w:val="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0F14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spacing w:line="178" w:lineRule="auto"/>
    </w:pPr>
    <w:rPr>
      <w:rFonts w:ascii="Arial" w:eastAsia="Arial" w:hAnsi="Arial" w:cs="Arial"/>
      <w:color w:val="6D636C"/>
      <w:sz w:val="8"/>
      <w:szCs w:val="8"/>
    </w:rPr>
  </w:style>
  <w:style w:type="paragraph" w:customStyle="1" w:styleId="Chthchbng0">
    <w:name w:val="Chú thích bảng"/>
    <w:basedOn w:val="Normal"/>
    <w:link w:val="Chthchbng"/>
    <w:pPr>
      <w:ind w:firstLine="64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720"/>
    </w:pPr>
    <w:rPr>
      <w:rFonts w:ascii="Times New Roman" w:eastAsia="Times New Roman" w:hAnsi="Times New Roman" w:cs="Times New Roman"/>
      <w:color w:val="0E0F14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91lD4ZUgeGLdxEMUuuvj4K09Dw==">CgMxLjA4AHIhMWg1Z0dEVHBXWWNBdzFGMWJTV2RVTDJSMGU0Zl8zYmFM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2024-05-06T04:07:00Z</dcterms:created>
  <dcterms:modified xsi:type="dcterms:W3CDTF">2024-05-06T04:07:00Z</dcterms:modified>
</cp:coreProperties>
</file>