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1E15" w:rsidRDefault="007F4C27" w:rsidP="007F4C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SZB: Board Resolution</w:t>
      </w:r>
    </w:p>
    <w:p w14:paraId="00000002" w14:textId="77777777" w:rsidR="00911E15" w:rsidRDefault="007F4C27" w:rsidP="007F4C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26, 2024, Sonadezi Long Binh Shareholding Company announced Resolution No. 1/NQ-HDQT-SZB on transactions with related parties as follows:</w:t>
      </w:r>
    </w:p>
    <w:p w14:paraId="00000003" w14:textId="77777777" w:rsidR="00911E15" w:rsidRDefault="007F4C27" w:rsidP="007F4C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on signing the Contract Appendix and transactions with Sonadezi Security Services Co., Ltd., with specific contents as follows:</w:t>
      </w:r>
    </w:p>
    <w:p w14:paraId="00000004" w14:textId="77777777" w:rsidR="00911E15" w:rsidRDefault="007F4C27" w:rsidP="007F4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Transaction: Purchase of asset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protection services and ensure security and order at Chau Duc Industrial Park and Thanh P</w:t>
      </w:r>
      <w:r>
        <w:rPr>
          <w:rFonts w:ascii="Arial" w:hAnsi="Arial"/>
          <w:color w:val="010000"/>
          <w:sz w:val="20"/>
        </w:rPr>
        <w:t>hu Industrial Park.</w:t>
      </w:r>
    </w:p>
    <w:p w14:paraId="00000005" w14:textId="77777777" w:rsidR="00911E15" w:rsidRDefault="007F4C27" w:rsidP="007F4C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value: </w:t>
      </w:r>
      <w:r>
        <w:rPr>
          <w:rFonts w:ascii="Arial" w:hAnsi="Arial"/>
          <w:color w:val="010000"/>
          <w:sz w:val="20"/>
        </w:rPr>
        <w:t>Approximately VND 140 million (including VAT), the total transaction value incurred within 12 months is less than 35% of the total asset value in the latest Financial Statements of the Company.</w:t>
      </w:r>
    </w:p>
    <w:p w14:paraId="00000006" w14:textId="77777777" w:rsidR="00911E15" w:rsidRDefault="007F4C27" w:rsidP="007F4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Implementation period: </w:t>
      </w:r>
      <w:r>
        <w:rPr>
          <w:rFonts w:ascii="Arial" w:hAnsi="Arial"/>
          <w:color w:val="010000"/>
          <w:sz w:val="20"/>
        </w:rPr>
        <w:t>03 months from May 1, 2024.</w:t>
      </w:r>
    </w:p>
    <w:p w14:paraId="00000007" w14:textId="77777777" w:rsidR="00911E15" w:rsidRDefault="007F4C27" w:rsidP="007F4C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Authorize the General Manager of the Company to organize the implementation of the work related to this Resolution and to disclose information in accordance with the provisions of law.</w:t>
      </w:r>
    </w:p>
    <w:p w14:paraId="00000008" w14:textId="77777777" w:rsidR="00911E15" w:rsidRDefault="007F4C27" w:rsidP="007F4C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Resolution takes</w:t>
      </w:r>
      <w:r>
        <w:rPr>
          <w:rFonts w:ascii="Arial" w:hAnsi="Arial"/>
          <w:color w:val="010000"/>
          <w:sz w:val="20"/>
        </w:rPr>
        <w:t xml:space="preserve"> effect from the date of its signing. </w:t>
      </w:r>
      <w:r>
        <w:rPr>
          <w:rFonts w:ascii="Arial" w:hAnsi="Arial"/>
          <w:color w:val="010000"/>
          <w:sz w:val="20"/>
        </w:rPr>
        <w:t>The General Manager of the Company, relevant Departments/Divisions, and individuals are responsible for the implementation of this Resolution.</w:t>
      </w:r>
    </w:p>
    <w:p w14:paraId="00000009" w14:textId="77777777" w:rsidR="00911E15" w:rsidRDefault="00911E15" w:rsidP="007F4C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11E1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CE4"/>
    <w:multiLevelType w:val="multilevel"/>
    <w:tmpl w:val="B81EDA7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F39F7"/>
    <w:multiLevelType w:val="multilevel"/>
    <w:tmpl w:val="167CF6D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8D7AF5"/>
    <w:multiLevelType w:val="multilevel"/>
    <w:tmpl w:val="A698AE4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5"/>
    <w:rsid w:val="007F4C27"/>
    <w:rsid w:val="009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C4FF5-A88F-4A07-9C67-4E8FF83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PrmT4BQErH5OHGDq2Wf6grTiA==">CgMxLjA4AHIhMVlnckZRclMzanVsc1E0eUhzZHUxaUN6bmtiSmFIcWlU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2024-05-04T11:03:00Z</dcterms:created>
  <dcterms:modified xsi:type="dcterms:W3CDTF">2024-05-06T03:56:00Z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c2fc880387a8894eee0f8945d7cc9e01cb35c41a8afca0c898366902f1dec8ac</vt:lpwstr>
  </property>
</Properties>
</file>