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429A" w:rsidRDefault="005F3388" w:rsidP="005F338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TDB: Board Decision</w:t>
      </w:r>
      <w:bookmarkStart w:id="0" w:name="_GoBack"/>
      <w:bookmarkEnd w:id="0"/>
    </w:p>
    <w:p w14:paraId="00000002" w14:textId="77777777" w:rsidR="005F429A" w:rsidRDefault="005F3388" w:rsidP="005F33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May 2, 2024, Dinh Binh Hydro Power Joint Stock Company announced Resolution No. 10/2024/QD-HDQT on the payment of the remaining dividend for 2023 and the advance payment of the first dividend for 2024 as follows:</w:t>
      </w:r>
    </w:p>
    <w:p w14:paraId="00000003" w14:textId="77777777" w:rsidR="005F429A" w:rsidRDefault="005F3388" w:rsidP="005F33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payment of the remaining dividend for 2023 and the advance payment of the first dividend for 2024 of Dinh Binh Hydro Power Joint Stock Company, with the following details:</w:t>
      </w:r>
    </w:p>
    <w:p w14:paraId="00000004" w14:textId="77777777" w:rsidR="005F429A" w:rsidRDefault="005F3388" w:rsidP="005F3388">
      <w:pPr>
        <w:numPr>
          <w:ilvl w:val="0"/>
          <w:numId w:val="3"/>
        </w:numPr>
        <w:pBdr>
          <w:top w:val="nil"/>
          <w:left w:val="nil"/>
          <w:bottom w:val="nil"/>
          <w:right w:val="nil"/>
          <w:between w:val="nil"/>
        </w:pBdr>
        <w:tabs>
          <w:tab w:val="left" w:pos="432"/>
          <w:tab w:val="left" w:pos="824"/>
        </w:tabs>
        <w:spacing w:after="120" w:line="360" w:lineRule="auto"/>
        <w:jc w:val="both"/>
        <w:rPr>
          <w:rFonts w:ascii="Arial" w:eastAsia="Arial" w:hAnsi="Arial" w:cs="Arial"/>
          <w:color w:val="010000"/>
          <w:sz w:val="20"/>
          <w:szCs w:val="20"/>
        </w:rPr>
      </w:pPr>
      <w:r>
        <w:rPr>
          <w:rFonts w:ascii="Arial" w:hAnsi="Arial"/>
          <w:color w:val="010000"/>
          <w:sz w:val="20"/>
        </w:rPr>
        <w:t>Realized dividend:</w:t>
      </w:r>
    </w:p>
    <w:p w14:paraId="00000005" w14:textId="77777777" w:rsidR="005F429A" w:rsidRDefault="005F3388" w:rsidP="005F3388">
      <w:pPr>
        <w:numPr>
          <w:ilvl w:val="0"/>
          <w:numId w:val="4"/>
        </w:numPr>
        <w:pBdr>
          <w:top w:val="nil"/>
          <w:left w:val="nil"/>
          <w:bottom w:val="nil"/>
          <w:right w:val="nil"/>
          <w:between w:val="nil"/>
        </w:pBdr>
        <w:tabs>
          <w:tab w:val="left" w:pos="432"/>
          <w:tab w:val="left" w:pos="967"/>
        </w:tabs>
        <w:spacing w:after="120" w:line="360" w:lineRule="auto"/>
        <w:jc w:val="both"/>
        <w:rPr>
          <w:rFonts w:ascii="Arial" w:eastAsia="Arial" w:hAnsi="Arial" w:cs="Arial"/>
          <w:color w:val="010000"/>
          <w:sz w:val="20"/>
          <w:szCs w:val="20"/>
        </w:rPr>
      </w:pPr>
      <w:r>
        <w:rPr>
          <w:rFonts w:ascii="Arial" w:hAnsi="Arial"/>
          <w:color w:val="010000"/>
          <w:sz w:val="20"/>
        </w:rPr>
        <w:t>Payment rate: 25% (equivalent to VND 2,500 per share)</w:t>
      </w:r>
      <w:r>
        <w:rPr>
          <w:rFonts w:ascii="Arial" w:hAnsi="Arial"/>
          <w:color w:val="010000"/>
          <w:sz w:val="20"/>
        </w:rPr>
        <w:t>;</w:t>
      </w:r>
    </w:p>
    <w:p w14:paraId="00000006" w14:textId="77777777" w:rsidR="005F429A" w:rsidRDefault="005F3388" w:rsidP="005F3388">
      <w:pPr>
        <w:numPr>
          <w:ilvl w:val="0"/>
          <w:numId w:val="4"/>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Pr>
          <w:rFonts w:ascii="Arial" w:hAnsi="Arial"/>
          <w:color w:val="010000"/>
          <w:sz w:val="20"/>
        </w:rPr>
        <w:t xml:space="preserve">Total output: VND 20,575,000,000, of which: </w:t>
      </w:r>
    </w:p>
    <w:p w14:paraId="00000007" w14:textId="77777777" w:rsidR="005F429A" w:rsidRDefault="005F3388" w:rsidP="005F3388">
      <w:pPr>
        <w:numPr>
          <w:ilvl w:val="0"/>
          <w:numId w:val="1"/>
        </w:numPr>
        <w:pBdr>
          <w:top w:val="nil"/>
          <w:left w:val="nil"/>
          <w:bottom w:val="nil"/>
          <w:right w:val="nil"/>
          <w:between w:val="nil"/>
        </w:pBdr>
        <w:tabs>
          <w:tab w:val="left" w:pos="432"/>
          <w:tab w:val="left" w:pos="6556"/>
        </w:tabs>
        <w:spacing w:after="120" w:line="360" w:lineRule="auto"/>
        <w:jc w:val="both"/>
        <w:rPr>
          <w:rFonts w:ascii="Arial" w:eastAsia="Arial" w:hAnsi="Arial" w:cs="Arial"/>
          <w:color w:val="010000"/>
          <w:sz w:val="20"/>
          <w:szCs w:val="20"/>
        </w:rPr>
      </w:pPr>
      <w:r>
        <w:rPr>
          <w:rFonts w:ascii="Arial" w:hAnsi="Arial"/>
          <w:color w:val="010000"/>
          <w:sz w:val="20"/>
        </w:rPr>
        <w:t>Remaining dividend for 2023 is 5%, equivalent to: VND 4,115,000,000</w:t>
      </w:r>
    </w:p>
    <w:p w14:paraId="00000008" w14:textId="77777777" w:rsidR="005F429A" w:rsidRDefault="005F3388" w:rsidP="005F3388">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Advance payment of the first dividend for 2024 is 20%, equivalent to: VND 16,460,000,000</w:t>
      </w:r>
    </w:p>
    <w:p w14:paraId="00000009" w14:textId="77777777" w:rsidR="005F429A" w:rsidRDefault="005F3388" w:rsidP="005F3388">
      <w:pPr>
        <w:numPr>
          <w:ilvl w:val="0"/>
          <w:numId w:val="4"/>
        </w:numPr>
        <w:pBdr>
          <w:top w:val="nil"/>
          <w:left w:val="nil"/>
          <w:bottom w:val="nil"/>
          <w:right w:val="nil"/>
          <w:between w:val="nil"/>
        </w:pBdr>
        <w:tabs>
          <w:tab w:val="left" w:pos="432"/>
          <w:tab w:val="left" w:pos="758"/>
        </w:tabs>
        <w:spacing w:after="120" w:line="360" w:lineRule="auto"/>
        <w:jc w:val="both"/>
        <w:rPr>
          <w:rFonts w:ascii="Arial" w:eastAsia="Arial" w:hAnsi="Arial" w:cs="Arial"/>
          <w:color w:val="010000"/>
          <w:sz w:val="20"/>
          <w:szCs w:val="20"/>
        </w:rPr>
      </w:pPr>
      <w:r>
        <w:rPr>
          <w:rFonts w:ascii="Arial" w:hAnsi="Arial"/>
          <w:color w:val="010000"/>
          <w:sz w:val="20"/>
        </w:rPr>
        <w:t>Payment method: In cash.</w:t>
      </w:r>
    </w:p>
    <w:p w14:paraId="0000000A" w14:textId="77777777" w:rsidR="005F429A" w:rsidRDefault="005F3388" w:rsidP="005F3388">
      <w:pPr>
        <w:numPr>
          <w:ilvl w:val="0"/>
          <w:numId w:val="3"/>
        </w:numPr>
        <w:pBdr>
          <w:top w:val="nil"/>
          <w:left w:val="nil"/>
          <w:bottom w:val="nil"/>
          <w:right w:val="nil"/>
          <w:between w:val="nil"/>
        </w:pBdr>
        <w:tabs>
          <w:tab w:val="left" w:pos="432"/>
          <w:tab w:val="left" w:pos="838"/>
        </w:tabs>
        <w:spacing w:after="120" w:line="360" w:lineRule="auto"/>
        <w:jc w:val="both"/>
        <w:rPr>
          <w:rFonts w:ascii="Arial" w:eastAsia="Arial" w:hAnsi="Arial" w:cs="Arial"/>
          <w:color w:val="010000"/>
          <w:sz w:val="20"/>
          <w:szCs w:val="20"/>
        </w:rPr>
      </w:pPr>
      <w:r>
        <w:rPr>
          <w:rFonts w:ascii="Arial" w:hAnsi="Arial"/>
          <w:color w:val="010000"/>
          <w:sz w:val="20"/>
        </w:rPr>
        <w:t>Implementation time:</w:t>
      </w:r>
    </w:p>
    <w:p w14:paraId="0000000B" w14:textId="77777777" w:rsidR="005F429A" w:rsidRDefault="005F3388" w:rsidP="005F3388">
      <w:pPr>
        <w:numPr>
          <w:ilvl w:val="0"/>
          <w:numId w:val="4"/>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Pr>
          <w:rFonts w:ascii="Arial" w:hAnsi="Arial"/>
          <w:color w:val="010000"/>
          <w:sz w:val="20"/>
        </w:rPr>
        <w:t>Record date:</w:t>
      </w:r>
      <w:r>
        <w:rPr>
          <w:rFonts w:ascii="Arial" w:hAnsi="Arial"/>
          <w:color w:val="010000"/>
          <w:sz w:val="20"/>
        </w:rPr>
        <w:t xml:space="preserve"> May 29, 2024.</w:t>
      </w:r>
    </w:p>
    <w:p w14:paraId="0000000C" w14:textId="77777777" w:rsidR="005F429A" w:rsidRDefault="005F3388" w:rsidP="005F3388">
      <w:pPr>
        <w:numPr>
          <w:ilvl w:val="0"/>
          <w:numId w:val="4"/>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Pr>
          <w:rFonts w:ascii="Arial" w:hAnsi="Arial"/>
          <w:color w:val="010000"/>
          <w:sz w:val="20"/>
        </w:rPr>
        <w:t>Payment execution time: June 19, 2024.</w:t>
      </w:r>
    </w:p>
    <w:p w14:paraId="0000000D" w14:textId="77777777" w:rsidR="005F429A" w:rsidRDefault="005F3388" w:rsidP="005F3388">
      <w:pPr>
        <w:numPr>
          <w:ilvl w:val="0"/>
          <w:numId w:val="3"/>
        </w:numPr>
        <w:pBdr>
          <w:top w:val="nil"/>
          <w:left w:val="nil"/>
          <w:bottom w:val="nil"/>
          <w:right w:val="nil"/>
          <w:between w:val="nil"/>
        </w:pBdr>
        <w:tabs>
          <w:tab w:val="left" w:pos="432"/>
          <w:tab w:val="left" w:pos="838"/>
        </w:tabs>
        <w:spacing w:after="120" w:line="360" w:lineRule="auto"/>
        <w:jc w:val="both"/>
        <w:rPr>
          <w:rFonts w:ascii="Arial" w:eastAsia="Arial" w:hAnsi="Arial" w:cs="Arial"/>
          <w:color w:val="010000"/>
          <w:sz w:val="20"/>
          <w:szCs w:val="20"/>
        </w:rPr>
      </w:pPr>
      <w:r>
        <w:rPr>
          <w:rFonts w:ascii="Arial" w:hAnsi="Arial"/>
          <w:color w:val="010000"/>
          <w:sz w:val="20"/>
        </w:rPr>
        <w:t>Payment location:</w:t>
      </w:r>
    </w:p>
    <w:p w14:paraId="0000000E" w14:textId="77777777" w:rsidR="005F429A" w:rsidRDefault="005F3388" w:rsidP="005F3388">
      <w:pPr>
        <w:numPr>
          <w:ilvl w:val="0"/>
          <w:numId w:val="4"/>
        </w:numPr>
        <w:pBdr>
          <w:top w:val="nil"/>
          <w:left w:val="nil"/>
          <w:bottom w:val="nil"/>
          <w:right w:val="nil"/>
          <w:between w:val="nil"/>
        </w:pBdr>
        <w:tabs>
          <w:tab w:val="left" w:pos="432"/>
          <w:tab w:val="left" w:pos="805"/>
        </w:tabs>
        <w:spacing w:after="120" w:line="360" w:lineRule="auto"/>
        <w:jc w:val="both"/>
        <w:rPr>
          <w:rFonts w:ascii="Arial" w:eastAsia="Arial" w:hAnsi="Arial" w:cs="Arial"/>
          <w:color w:val="010000"/>
          <w:sz w:val="20"/>
          <w:szCs w:val="20"/>
        </w:rPr>
      </w:pPr>
      <w:r>
        <w:rPr>
          <w:rFonts w:ascii="Arial" w:hAnsi="Arial"/>
          <w:color w:val="010000"/>
          <w:sz w:val="20"/>
        </w:rPr>
        <w:t xml:space="preserve">For deposited securities: </w:t>
      </w:r>
      <w:r>
        <w:rPr>
          <w:rFonts w:ascii="Arial" w:hAnsi="Arial"/>
          <w:color w:val="010000"/>
          <w:sz w:val="20"/>
        </w:rPr>
        <w:t>Shareholders receive dividends at the securities depository member company where the shareholders have registered.</w:t>
      </w:r>
    </w:p>
    <w:p w14:paraId="0000000F" w14:textId="77777777" w:rsidR="005F429A" w:rsidRDefault="005F3388" w:rsidP="005F3388">
      <w:pPr>
        <w:numPr>
          <w:ilvl w:val="0"/>
          <w:numId w:val="4"/>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Pr>
          <w:rFonts w:ascii="Arial" w:hAnsi="Arial"/>
          <w:color w:val="010000"/>
          <w:sz w:val="20"/>
        </w:rPr>
        <w:t xml:space="preserve">For non-deposited securities: </w:t>
      </w:r>
      <w:r>
        <w:rPr>
          <w:rFonts w:ascii="Arial" w:hAnsi="Arial"/>
          <w:color w:val="010000"/>
          <w:sz w:val="20"/>
        </w:rPr>
        <w:t>Shareholders receive dividends at the Company's office or transferred to the account that the shareholders have registered.</w:t>
      </w:r>
    </w:p>
    <w:p w14:paraId="00000010" w14:textId="77777777" w:rsidR="005F429A" w:rsidRDefault="005F3388" w:rsidP="005F33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The payment source is taken from the Company's business profit after tax .</w:t>
      </w:r>
    </w:p>
    <w:p w14:paraId="00000011" w14:textId="77777777" w:rsidR="005F429A" w:rsidRDefault="005F3388" w:rsidP="005F338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This Resolution takes effect from t</w:t>
      </w:r>
      <w:r>
        <w:rPr>
          <w:rFonts w:ascii="Arial" w:hAnsi="Arial"/>
          <w:color w:val="010000"/>
          <w:sz w:val="20"/>
        </w:rPr>
        <w:t>he signing date. The General Director, Chief Accountant of the Company, and relevant departments shall implement this Resolution.</w:t>
      </w:r>
    </w:p>
    <w:p w14:paraId="00000012" w14:textId="77777777" w:rsidR="005F429A" w:rsidRDefault="005F429A">
      <w:pPr>
        <w:tabs>
          <w:tab w:val="left" w:pos="432"/>
        </w:tabs>
        <w:spacing w:after="120" w:line="360" w:lineRule="auto"/>
        <w:rPr>
          <w:rFonts w:ascii="Arial" w:eastAsia="Arial" w:hAnsi="Arial" w:cs="Arial"/>
          <w:color w:val="010000"/>
          <w:sz w:val="20"/>
          <w:szCs w:val="20"/>
        </w:rPr>
      </w:pPr>
    </w:p>
    <w:sectPr w:rsidR="005F429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5AD"/>
    <w:multiLevelType w:val="multilevel"/>
    <w:tmpl w:val="1F54544E"/>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0A0EE5"/>
    <w:multiLevelType w:val="multilevel"/>
    <w:tmpl w:val="4FFE56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9F02E70"/>
    <w:multiLevelType w:val="multilevel"/>
    <w:tmpl w:val="77BE3810"/>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B2757E6"/>
    <w:multiLevelType w:val="multilevel"/>
    <w:tmpl w:val="C268A8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
  <w:rsids>
    <w:rsidRoot w:val="005F429A"/>
    <w:rsid w:val="005F3388"/>
    <w:rsid w:val="005F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9"/>
      <w:szCs w:val="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8"/>
      <w:szCs w:val="18"/>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sz w:val="30"/>
      <w:szCs w:val="30"/>
    </w:rPr>
  </w:style>
  <w:style w:type="paragraph" w:customStyle="1" w:styleId="Bodytext30">
    <w:name w:val="Body text (3)"/>
    <w:basedOn w:val="Normal"/>
    <w:link w:val="Bodytext3"/>
    <w:rPr>
      <w:rFonts w:ascii="Arial" w:eastAsia="Arial" w:hAnsi="Arial" w:cs="Arial"/>
      <w:smallCaps/>
      <w:sz w:val="9"/>
      <w:szCs w:val="9"/>
    </w:rPr>
  </w:style>
  <w:style w:type="paragraph" w:customStyle="1" w:styleId="Bodytext20">
    <w:name w:val="Body text (2)"/>
    <w:basedOn w:val="Normal"/>
    <w:link w:val="Bodytext2"/>
    <w:pPr>
      <w:spacing w:line="233" w:lineRule="auto"/>
    </w:pPr>
    <w:rPr>
      <w:rFonts w:ascii="Arial" w:eastAsia="Arial" w:hAnsi="Arial" w:cs="Arial"/>
      <w:sz w:val="10"/>
      <w:szCs w:val="10"/>
    </w:rPr>
  </w:style>
  <w:style w:type="paragraph" w:customStyle="1" w:styleId="Bodytext50">
    <w:name w:val="Body text (5)"/>
    <w:basedOn w:val="Normal"/>
    <w:link w:val="Bodytext5"/>
    <w:rPr>
      <w:rFonts w:ascii="Arial" w:eastAsia="Arial" w:hAnsi="Arial" w:cs="Arial"/>
      <w:b/>
      <w:bCs/>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9"/>
      <w:szCs w:val="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8"/>
      <w:szCs w:val="18"/>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sz w:val="30"/>
      <w:szCs w:val="30"/>
    </w:rPr>
  </w:style>
  <w:style w:type="paragraph" w:customStyle="1" w:styleId="Bodytext30">
    <w:name w:val="Body text (3)"/>
    <w:basedOn w:val="Normal"/>
    <w:link w:val="Bodytext3"/>
    <w:rPr>
      <w:rFonts w:ascii="Arial" w:eastAsia="Arial" w:hAnsi="Arial" w:cs="Arial"/>
      <w:smallCaps/>
      <w:sz w:val="9"/>
      <w:szCs w:val="9"/>
    </w:rPr>
  </w:style>
  <w:style w:type="paragraph" w:customStyle="1" w:styleId="Bodytext20">
    <w:name w:val="Body text (2)"/>
    <w:basedOn w:val="Normal"/>
    <w:link w:val="Bodytext2"/>
    <w:pPr>
      <w:spacing w:line="233" w:lineRule="auto"/>
    </w:pPr>
    <w:rPr>
      <w:rFonts w:ascii="Arial" w:eastAsia="Arial" w:hAnsi="Arial" w:cs="Arial"/>
      <w:sz w:val="10"/>
      <w:szCs w:val="10"/>
    </w:rPr>
  </w:style>
  <w:style w:type="paragraph" w:customStyle="1" w:styleId="Bodytext50">
    <w:name w:val="Body text (5)"/>
    <w:basedOn w:val="Normal"/>
    <w:link w:val="Bodytext5"/>
    <w:rPr>
      <w:rFonts w:ascii="Arial" w:eastAsia="Arial" w:hAnsi="Arial" w:cs="Arial"/>
      <w:b/>
      <w:bCs/>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kxN9iw59TOaWhfIP24tFJc5iZg==">CgMxLjA4AHIhMUdTRjJxcEVrbi1JV1hBWWg5WU52R0hsSnpDZldPSDha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Company>Hewlett-Packard Company</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2024-05-04T11:03:00Z</dcterms:created>
  <dcterms:modified xsi:type="dcterms:W3CDTF">2024-05-06T04:48:00Z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d2ed7ca18cd937601300a9e6e3c1e4c9d11a2a19ca4e6af29cfe3b4604cd3661</vt:lpwstr>
  </property>
</Properties>
</file>