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F493" w14:textId="77777777" w:rsidR="002E28BD" w:rsidRDefault="00111BD5">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THT: Annual General Mandate 2024</w:t>
      </w:r>
    </w:p>
    <w:p w14:paraId="0B4D840C" w14:textId="77777777" w:rsidR="002E28BD" w:rsidRDefault="00111BD5">
      <w:pPr>
        <w:pBdr>
          <w:top w:val="nil"/>
          <w:left w:val="nil"/>
          <w:bottom w:val="nil"/>
          <w:right w:val="nil"/>
          <w:between w:val="nil"/>
        </w:pBdr>
        <w:spacing w:after="40" w:line="360" w:lineRule="auto"/>
        <w:jc w:val="both"/>
        <w:rPr>
          <w:rFonts w:ascii="Arial" w:eastAsia="Arial" w:hAnsi="Arial" w:cs="Arial"/>
          <w:sz w:val="20"/>
          <w:szCs w:val="20"/>
        </w:rPr>
      </w:pPr>
      <w:r>
        <w:rPr>
          <w:rFonts w:ascii="Arial" w:hAnsi="Arial"/>
          <w:sz w:val="20"/>
        </w:rPr>
        <w:t xml:space="preserve">On April 25, 2024, </w:t>
      </w:r>
      <w:proofErr w:type="spellStart"/>
      <w:r>
        <w:rPr>
          <w:rFonts w:ascii="Arial" w:hAnsi="Arial"/>
          <w:sz w:val="20"/>
        </w:rPr>
        <w:t>Vinacomin</w:t>
      </w:r>
      <w:proofErr w:type="spellEnd"/>
      <w:r>
        <w:rPr>
          <w:rFonts w:ascii="Arial" w:hAnsi="Arial"/>
          <w:sz w:val="20"/>
        </w:rPr>
        <w:t xml:space="preserve"> - Ha </w:t>
      </w:r>
      <w:proofErr w:type="spellStart"/>
      <w:r>
        <w:rPr>
          <w:rFonts w:ascii="Arial" w:hAnsi="Arial"/>
          <w:sz w:val="20"/>
        </w:rPr>
        <w:t>Tu</w:t>
      </w:r>
      <w:proofErr w:type="spellEnd"/>
      <w:r>
        <w:rPr>
          <w:rFonts w:ascii="Arial" w:hAnsi="Arial"/>
          <w:sz w:val="20"/>
        </w:rPr>
        <w:t xml:space="preserve"> Coal JSC announced General Mandate No. 01/2024/NQ-DHDCD/THT as follows: </w:t>
      </w:r>
    </w:p>
    <w:p w14:paraId="37CF6F44"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the company's production and business results in 2023 and the tasks and plans for production and business in 2024, with the following main targets:</w:t>
      </w:r>
    </w:p>
    <w:p w14:paraId="2BEC524E" w14:textId="77777777" w:rsidR="002E28BD" w:rsidRDefault="00111BD5">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 xml:space="preserve"> Production and business results in 2023:</w:t>
      </w:r>
    </w:p>
    <w:tbl>
      <w:tblPr>
        <w:tblStyle w:val="a"/>
        <w:tblW w:w="9015" w:type="dxa"/>
        <w:jc w:val="center"/>
        <w:tblLayout w:type="fixed"/>
        <w:tblLook w:val="0000" w:firstRow="0" w:lastRow="0" w:firstColumn="0" w:lastColumn="0" w:noHBand="0" w:noVBand="0"/>
      </w:tblPr>
      <w:tblGrid>
        <w:gridCol w:w="583"/>
        <w:gridCol w:w="3569"/>
        <w:gridCol w:w="1338"/>
        <w:gridCol w:w="1253"/>
        <w:gridCol w:w="1273"/>
        <w:gridCol w:w="999"/>
      </w:tblGrid>
      <w:tr w:rsidR="002E28BD" w14:paraId="72826C57" w14:textId="77777777">
        <w:trPr>
          <w:trHeight w:val="816"/>
          <w:jc w:val="center"/>
        </w:trPr>
        <w:tc>
          <w:tcPr>
            <w:tcW w:w="584" w:type="dxa"/>
            <w:tcBorders>
              <w:top w:val="single" w:sz="4" w:space="0" w:color="000000"/>
              <w:left w:val="single" w:sz="4" w:space="0" w:color="000000"/>
            </w:tcBorders>
            <w:shd w:val="clear" w:color="auto" w:fill="FFFFFF"/>
            <w:tcMar>
              <w:top w:w="0" w:type="dxa"/>
              <w:bottom w:w="0" w:type="dxa"/>
            </w:tcMar>
            <w:vAlign w:val="center"/>
          </w:tcPr>
          <w:p w14:paraId="241E429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3569" w:type="dxa"/>
            <w:tcBorders>
              <w:top w:val="single" w:sz="4" w:space="0" w:color="000000"/>
              <w:left w:val="single" w:sz="4" w:space="0" w:color="000000"/>
            </w:tcBorders>
            <w:shd w:val="clear" w:color="auto" w:fill="FFFFFF"/>
            <w:tcMar>
              <w:top w:w="0" w:type="dxa"/>
              <w:bottom w:w="0" w:type="dxa"/>
            </w:tcMar>
            <w:vAlign w:val="center"/>
          </w:tcPr>
          <w:p w14:paraId="37EC9269"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1338" w:type="dxa"/>
            <w:tcBorders>
              <w:top w:val="single" w:sz="4" w:space="0" w:color="000000"/>
              <w:left w:val="single" w:sz="4" w:space="0" w:color="000000"/>
            </w:tcBorders>
            <w:shd w:val="clear" w:color="auto" w:fill="FFFFFF"/>
            <w:tcMar>
              <w:top w:w="0" w:type="dxa"/>
              <w:bottom w:w="0" w:type="dxa"/>
            </w:tcMar>
            <w:vAlign w:val="center"/>
          </w:tcPr>
          <w:p w14:paraId="09B9A8E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253" w:type="dxa"/>
            <w:tcBorders>
              <w:top w:val="single" w:sz="4" w:space="0" w:color="000000"/>
              <w:left w:val="single" w:sz="4" w:space="0" w:color="000000"/>
            </w:tcBorders>
            <w:shd w:val="clear" w:color="auto" w:fill="FFFFFF"/>
            <w:tcMar>
              <w:top w:w="0" w:type="dxa"/>
              <w:bottom w:w="0" w:type="dxa"/>
            </w:tcMar>
            <w:vAlign w:val="bottom"/>
          </w:tcPr>
          <w:p w14:paraId="329168D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General Mandate 2023</w:t>
            </w:r>
          </w:p>
        </w:tc>
        <w:tc>
          <w:tcPr>
            <w:tcW w:w="1273" w:type="dxa"/>
            <w:tcBorders>
              <w:top w:val="single" w:sz="4" w:space="0" w:color="000000"/>
              <w:left w:val="single" w:sz="4" w:space="0" w:color="000000"/>
            </w:tcBorders>
            <w:shd w:val="clear" w:color="auto" w:fill="FFFFFF"/>
            <w:tcMar>
              <w:top w:w="0" w:type="dxa"/>
              <w:bottom w:w="0" w:type="dxa"/>
            </w:tcMar>
            <w:vAlign w:val="center"/>
          </w:tcPr>
          <w:p w14:paraId="0F6F6EBA" w14:textId="77777777" w:rsidR="002E28BD" w:rsidRDefault="00111BD5">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 xml:space="preserve">Results 2023 </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0F783A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 (%)</w:t>
            </w:r>
          </w:p>
        </w:tc>
      </w:tr>
      <w:tr w:rsidR="002E28BD" w14:paraId="2CCBB66F" w14:textId="77777777">
        <w:trPr>
          <w:trHeight w:val="595"/>
          <w:jc w:val="center"/>
        </w:trPr>
        <w:tc>
          <w:tcPr>
            <w:tcW w:w="584" w:type="dxa"/>
            <w:tcBorders>
              <w:top w:val="single" w:sz="4" w:space="0" w:color="000000"/>
              <w:left w:val="single" w:sz="4" w:space="0" w:color="000000"/>
            </w:tcBorders>
            <w:shd w:val="clear" w:color="auto" w:fill="FFFFFF"/>
            <w:tcMar>
              <w:top w:w="0" w:type="dxa"/>
              <w:bottom w:w="0" w:type="dxa"/>
            </w:tcMar>
            <w:vAlign w:val="center"/>
          </w:tcPr>
          <w:p w14:paraId="10833B2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569" w:type="dxa"/>
            <w:tcBorders>
              <w:top w:val="single" w:sz="4" w:space="0" w:color="000000"/>
              <w:left w:val="single" w:sz="4" w:space="0" w:color="000000"/>
            </w:tcBorders>
            <w:shd w:val="clear" w:color="auto" w:fill="FFFFFF"/>
            <w:tcMar>
              <w:top w:w="0" w:type="dxa"/>
              <w:bottom w:w="0" w:type="dxa"/>
            </w:tcMar>
            <w:vAlign w:val="bottom"/>
          </w:tcPr>
          <w:p w14:paraId="1581BA5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overburden</w:t>
            </w:r>
          </w:p>
        </w:tc>
        <w:tc>
          <w:tcPr>
            <w:tcW w:w="1338" w:type="dxa"/>
            <w:tcBorders>
              <w:top w:val="single" w:sz="4" w:space="0" w:color="000000"/>
              <w:left w:val="single" w:sz="4" w:space="0" w:color="000000"/>
            </w:tcBorders>
            <w:shd w:val="clear" w:color="auto" w:fill="FFFFFF"/>
            <w:tcMar>
              <w:top w:w="0" w:type="dxa"/>
              <w:bottom w:w="0" w:type="dxa"/>
            </w:tcMar>
            <w:vAlign w:val="bottom"/>
          </w:tcPr>
          <w:p w14:paraId="2CD552CD" w14:textId="0817AE14" w:rsidR="002E28BD" w:rsidRDefault="00B431FC">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w:t>
            </w:r>
            <w:r w:rsidR="00111BD5">
              <w:rPr>
                <w:rFonts w:ascii="Arial" w:hAnsi="Arial"/>
                <w:sz w:val="20"/>
              </w:rPr>
              <w:t xml:space="preserve"> m3</w:t>
            </w:r>
          </w:p>
        </w:tc>
        <w:tc>
          <w:tcPr>
            <w:tcW w:w="1253" w:type="dxa"/>
            <w:tcBorders>
              <w:top w:val="single" w:sz="4" w:space="0" w:color="000000"/>
              <w:left w:val="single" w:sz="4" w:space="0" w:color="000000"/>
            </w:tcBorders>
            <w:shd w:val="clear" w:color="auto" w:fill="FFFFFF"/>
            <w:tcMar>
              <w:top w:w="0" w:type="dxa"/>
              <w:bottom w:w="0" w:type="dxa"/>
            </w:tcMar>
            <w:vAlign w:val="bottom"/>
          </w:tcPr>
          <w:p w14:paraId="0ED63DBF"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44,900</w:t>
            </w:r>
          </w:p>
        </w:tc>
        <w:tc>
          <w:tcPr>
            <w:tcW w:w="1273" w:type="dxa"/>
            <w:tcBorders>
              <w:top w:val="single" w:sz="4" w:space="0" w:color="000000"/>
              <w:left w:val="single" w:sz="4" w:space="0" w:color="000000"/>
            </w:tcBorders>
            <w:shd w:val="clear" w:color="auto" w:fill="FFFFFF"/>
            <w:tcMar>
              <w:top w:w="0" w:type="dxa"/>
              <w:bottom w:w="0" w:type="dxa"/>
            </w:tcMar>
            <w:vAlign w:val="bottom"/>
          </w:tcPr>
          <w:p w14:paraId="4C0B6F80"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44,952</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DC1544B"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100.1</w:t>
            </w:r>
          </w:p>
        </w:tc>
      </w:tr>
      <w:tr w:rsidR="002E28BD" w14:paraId="71D93D24" w14:textId="77777777">
        <w:trPr>
          <w:trHeight w:val="581"/>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1E229D7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569" w:type="dxa"/>
            <w:tcBorders>
              <w:top w:val="single" w:sz="4" w:space="0" w:color="000000"/>
              <w:left w:val="single" w:sz="4" w:space="0" w:color="000000"/>
            </w:tcBorders>
            <w:shd w:val="clear" w:color="auto" w:fill="FFFFFF"/>
            <w:tcMar>
              <w:top w:w="0" w:type="dxa"/>
              <w:bottom w:w="0" w:type="dxa"/>
            </w:tcMar>
            <w:vAlign w:val="bottom"/>
          </w:tcPr>
          <w:p w14:paraId="30FF893E"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Raw coal production</w:t>
            </w:r>
          </w:p>
        </w:tc>
        <w:tc>
          <w:tcPr>
            <w:tcW w:w="1338" w:type="dxa"/>
            <w:tcBorders>
              <w:top w:val="single" w:sz="4" w:space="0" w:color="000000"/>
              <w:left w:val="single" w:sz="4" w:space="0" w:color="000000"/>
            </w:tcBorders>
            <w:shd w:val="clear" w:color="auto" w:fill="FFFFFF"/>
            <w:tcMar>
              <w:top w:w="0" w:type="dxa"/>
              <w:bottom w:w="0" w:type="dxa"/>
            </w:tcMar>
            <w:vAlign w:val="bottom"/>
          </w:tcPr>
          <w:p w14:paraId="5640CD0A" w14:textId="0846A6F9"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tons</w:t>
            </w:r>
          </w:p>
        </w:tc>
        <w:tc>
          <w:tcPr>
            <w:tcW w:w="1253" w:type="dxa"/>
            <w:tcBorders>
              <w:top w:val="single" w:sz="4" w:space="0" w:color="000000"/>
              <w:left w:val="single" w:sz="4" w:space="0" w:color="000000"/>
            </w:tcBorders>
            <w:shd w:val="clear" w:color="auto" w:fill="FFFFFF"/>
            <w:tcMar>
              <w:top w:w="0" w:type="dxa"/>
              <w:bottom w:w="0" w:type="dxa"/>
            </w:tcMar>
            <w:vAlign w:val="bottom"/>
          </w:tcPr>
          <w:p w14:paraId="0F06D758"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2,550</w:t>
            </w:r>
          </w:p>
        </w:tc>
        <w:tc>
          <w:tcPr>
            <w:tcW w:w="1273" w:type="dxa"/>
            <w:tcBorders>
              <w:top w:val="single" w:sz="4" w:space="0" w:color="000000"/>
              <w:left w:val="single" w:sz="4" w:space="0" w:color="000000"/>
            </w:tcBorders>
            <w:shd w:val="clear" w:color="auto" w:fill="FFFFFF"/>
            <w:tcMar>
              <w:top w:w="0" w:type="dxa"/>
              <w:bottom w:w="0" w:type="dxa"/>
            </w:tcMar>
            <w:vAlign w:val="bottom"/>
          </w:tcPr>
          <w:p w14:paraId="1480153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2,550</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0BB05C6"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100.0</w:t>
            </w:r>
          </w:p>
        </w:tc>
      </w:tr>
      <w:tr w:rsidR="002E28BD" w14:paraId="71B2B344" w14:textId="77777777">
        <w:trPr>
          <w:trHeight w:val="590"/>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360B8178"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569" w:type="dxa"/>
            <w:tcBorders>
              <w:top w:val="single" w:sz="4" w:space="0" w:color="000000"/>
              <w:left w:val="single" w:sz="4" w:space="0" w:color="000000"/>
            </w:tcBorders>
            <w:shd w:val="clear" w:color="auto" w:fill="FFFFFF"/>
            <w:tcMar>
              <w:top w:w="0" w:type="dxa"/>
              <w:bottom w:w="0" w:type="dxa"/>
            </w:tcMar>
            <w:vAlign w:val="bottom"/>
          </w:tcPr>
          <w:p w14:paraId="7272A7F1"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Coal consumption</w:t>
            </w:r>
          </w:p>
        </w:tc>
        <w:tc>
          <w:tcPr>
            <w:tcW w:w="1338" w:type="dxa"/>
            <w:tcBorders>
              <w:top w:val="single" w:sz="4" w:space="0" w:color="000000"/>
              <w:left w:val="single" w:sz="4" w:space="0" w:color="000000"/>
            </w:tcBorders>
            <w:shd w:val="clear" w:color="auto" w:fill="FFFFFF"/>
            <w:tcMar>
              <w:top w:w="0" w:type="dxa"/>
              <w:bottom w:w="0" w:type="dxa"/>
            </w:tcMar>
            <w:vAlign w:val="bottom"/>
          </w:tcPr>
          <w:p w14:paraId="33A1B01A" w14:textId="64A18EBD"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tons</w:t>
            </w:r>
          </w:p>
        </w:tc>
        <w:tc>
          <w:tcPr>
            <w:tcW w:w="1253" w:type="dxa"/>
            <w:tcBorders>
              <w:top w:val="single" w:sz="4" w:space="0" w:color="000000"/>
              <w:left w:val="single" w:sz="4" w:space="0" w:color="000000"/>
            </w:tcBorders>
            <w:shd w:val="clear" w:color="auto" w:fill="FFFFFF"/>
            <w:tcMar>
              <w:top w:w="0" w:type="dxa"/>
              <w:bottom w:w="0" w:type="dxa"/>
            </w:tcMar>
            <w:vAlign w:val="bottom"/>
          </w:tcPr>
          <w:p w14:paraId="5CEDB07B"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2,684</w:t>
            </w:r>
          </w:p>
        </w:tc>
        <w:tc>
          <w:tcPr>
            <w:tcW w:w="1273" w:type="dxa"/>
            <w:tcBorders>
              <w:top w:val="single" w:sz="4" w:space="0" w:color="000000"/>
              <w:left w:val="single" w:sz="4" w:space="0" w:color="000000"/>
            </w:tcBorders>
            <w:shd w:val="clear" w:color="auto" w:fill="FFFFFF"/>
            <w:tcMar>
              <w:top w:w="0" w:type="dxa"/>
              <w:bottom w:w="0" w:type="dxa"/>
            </w:tcMar>
            <w:vAlign w:val="bottom"/>
          </w:tcPr>
          <w:p w14:paraId="25985320"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2,786</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FB9B070"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103.8</w:t>
            </w:r>
          </w:p>
        </w:tc>
      </w:tr>
      <w:tr w:rsidR="002E28BD" w14:paraId="1C172527" w14:textId="77777777">
        <w:trPr>
          <w:trHeight w:val="586"/>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6F943E3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569" w:type="dxa"/>
            <w:tcBorders>
              <w:top w:val="single" w:sz="4" w:space="0" w:color="000000"/>
              <w:left w:val="single" w:sz="4" w:space="0" w:color="000000"/>
            </w:tcBorders>
            <w:shd w:val="clear" w:color="auto" w:fill="FFFFFF"/>
            <w:tcMar>
              <w:top w:w="0" w:type="dxa"/>
              <w:bottom w:w="0" w:type="dxa"/>
            </w:tcMar>
            <w:vAlign w:val="bottom"/>
          </w:tcPr>
          <w:p w14:paraId="2523062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338" w:type="dxa"/>
            <w:tcBorders>
              <w:top w:val="single" w:sz="4" w:space="0" w:color="000000"/>
              <w:left w:val="single" w:sz="4" w:space="0" w:color="000000"/>
            </w:tcBorders>
            <w:shd w:val="clear" w:color="auto" w:fill="FFFFFF"/>
            <w:tcMar>
              <w:top w:w="0" w:type="dxa"/>
              <w:bottom w:w="0" w:type="dxa"/>
            </w:tcMar>
            <w:vAlign w:val="bottom"/>
          </w:tcPr>
          <w:p w14:paraId="4BB058C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1253" w:type="dxa"/>
            <w:tcBorders>
              <w:top w:val="single" w:sz="4" w:space="0" w:color="000000"/>
              <w:left w:val="single" w:sz="4" w:space="0" w:color="000000"/>
            </w:tcBorders>
            <w:shd w:val="clear" w:color="auto" w:fill="FFFFFF"/>
            <w:tcMar>
              <w:top w:w="0" w:type="dxa"/>
              <w:bottom w:w="0" w:type="dxa"/>
            </w:tcMar>
            <w:vAlign w:val="bottom"/>
          </w:tcPr>
          <w:p w14:paraId="474B2DE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4,448,071</w:t>
            </w:r>
          </w:p>
        </w:tc>
        <w:tc>
          <w:tcPr>
            <w:tcW w:w="1273" w:type="dxa"/>
            <w:tcBorders>
              <w:top w:val="single" w:sz="4" w:space="0" w:color="000000"/>
              <w:left w:val="single" w:sz="4" w:space="0" w:color="000000"/>
            </w:tcBorders>
            <w:shd w:val="clear" w:color="auto" w:fill="FFFFFF"/>
            <w:tcMar>
              <w:top w:w="0" w:type="dxa"/>
              <w:bottom w:w="0" w:type="dxa"/>
            </w:tcMar>
            <w:vAlign w:val="bottom"/>
          </w:tcPr>
          <w:p w14:paraId="2A2DB03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4,344,213</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5CD3280"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97.7</w:t>
            </w:r>
          </w:p>
        </w:tc>
      </w:tr>
      <w:tr w:rsidR="002E28BD" w14:paraId="501F04E4" w14:textId="77777777">
        <w:trPr>
          <w:trHeight w:val="581"/>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3EF91C0A"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569" w:type="dxa"/>
            <w:tcBorders>
              <w:top w:val="single" w:sz="4" w:space="0" w:color="000000"/>
              <w:left w:val="single" w:sz="4" w:space="0" w:color="000000"/>
            </w:tcBorders>
            <w:shd w:val="clear" w:color="auto" w:fill="FFFFFF"/>
            <w:tcMar>
              <w:top w:w="0" w:type="dxa"/>
              <w:bottom w:w="0" w:type="dxa"/>
            </w:tcMar>
            <w:vAlign w:val="bottom"/>
          </w:tcPr>
          <w:p w14:paraId="75B5816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338" w:type="dxa"/>
            <w:tcBorders>
              <w:top w:val="single" w:sz="4" w:space="0" w:color="000000"/>
              <w:left w:val="single" w:sz="4" w:space="0" w:color="000000"/>
            </w:tcBorders>
            <w:shd w:val="clear" w:color="auto" w:fill="FFFFFF"/>
            <w:tcMar>
              <w:top w:w="0" w:type="dxa"/>
              <w:bottom w:w="0" w:type="dxa"/>
            </w:tcMar>
            <w:vAlign w:val="bottom"/>
          </w:tcPr>
          <w:p w14:paraId="4F330B9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1253" w:type="dxa"/>
            <w:tcBorders>
              <w:top w:val="single" w:sz="4" w:space="0" w:color="000000"/>
              <w:left w:val="single" w:sz="4" w:space="0" w:color="000000"/>
            </w:tcBorders>
            <w:shd w:val="clear" w:color="auto" w:fill="FFFFFF"/>
            <w:tcMar>
              <w:top w:w="0" w:type="dxa"/>
              <w:bottom w:w="0" w:type="dxa"/>
            </w:tcMar>
            <w:vAlign w:val="bottom"/>
          </w:tcPr>
          <w:p w14:paraId="745157C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7,879</w:t>
            </w:r>
          </w:p>
        </w:tc>
        <w:tc>
          <w:tcPr>
            <w:tcW w:w="1273" w:type="dxa"/>
            <w:tcBorders>
              <w:top w:val="single" w:sz="4" w:space="0" w:color="000000"/>
              <w:left w:val="single" w:sz="4" w:space="0" w:color="000000"/>
            </w:tcBorders>
            <w:shd w:val="clear" w:color="auto" w:fill="FFFFFF"/>
            <w:tcMar>
              <w:top w:w="0" w:type="dxa"/>
              <w:bottom w:w="0" w:type="dxa"/>
            </w:tcMar>
            <w:vAlign w:val="bottom"/>
          </w:tcPr>
          <w:p w14:paraId="6FA17403"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90,174</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FEC87B6"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115.8</w:t>
            </w:r>
          </w:p>
        </w:tc>
      </w:tr>
      <w:tr w:rsidR="002E28BD" w14:paraId="4F252991" w14:textId="77777777">
        <w:trPr>
          <w:trHeight w:val="590"/>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510B8C5F"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3569" w:type="dxa"/>
            <w:tcBorders>
              <w:top w:val="single" w:sz="4" w:space="0" w:color="000000"/>
              <w:left w:val="single" w:sz="4" w:space="0" w:color="000000"/>
            </w:tcBorders>
            <w:shd w:val="clear" w:color="auto" w:fill="FFFFFF"/>
            <w:tcMar>
              <w:top w:w="0" w:type="dxa"/>
              <w:bottom w:w="0" w:type="dxa"/>
            </w:tcMar>
            <w:vAlign w:val="bottom"/>
          </w:tcPr>
          <w:p w14:paraId="431507C8"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Construction investment</w:t>
            </w:r>
          </w:p>
        </w:tc>
        <w:tc>
          <w:tcPr>
            <w:tcW w:w="1338" w:type="dxa"/>
            <w:tcBorders>
              <w:top w:val="single" w:sz="4" w:space="0" w:color="000000"/>
              <w:left w:val="single" w:sz="4" w:space="0" w:color="000000"/>
            </w:tcBorders>
            <w:shd w:val="clear" w:color="auto" w:fill="FFFFFF"/>
            <w:tcMar>
              <w:top w:w="0" w:type="dxa"/>
              <w:bottom w:w="0" w:type="dxa"/>
            </w:tcMar>
            <w:vAlign w:val="bottom"/>
          </w:tcPr>
          <w:p w14:paraId="18D8536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Billion VND</w:t>
            </w:r>
          </w:p>
        </w:tc>
        <w:tc>
          <w:tcPr>
            <w:tcW w:w="1253" w:type="dxa"/>
            <w:tcBorders>
              <w:top w:val="single" w:sz="4" w:space="0" w:color="000000"/>
              <w:left w:val="single" w:sz="4" w:space="0" w:color="000000"/>
            </w:tcBorders>
            <w:shd w:val="clear" w:color="auto" w:fill="FFFFFF"/>
            <w:tcMar>
              <w:top w:w="0" w:type="dxa"/>
              <w:bottom w:w="0" w:type="dxa"/>
            </w:tcMar>
            <w:vAlign w:val="bottom"/>
          </w:tcPr>
          <w:p w14:paraId="3E03944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554</w:t>
            </w:r>
          </w:p>
        </w:tc>
        <w:tc>
          <w:tcPr>
            <w:tcW w:w="1273" w:type="dxa"/>
            <w:tcBorders>
              <w:top w:val="single" w:sz="4" w:space="0" w:color="000000"/>
              <w:left w:val="single" w:sz="4" w:space="0" w:color="000000"/>
            </w:tcBorders>
            <w:shd w:val="clear" w:color="auto" w:fill="FFFFFF"/>
            <w:tcMar>
              <w:top w:w="0" w:type="dxa"/>
              <w:bottom w:w="0" w:type="dxa"/>
            </w:tcMar>
            <w:vAlign w:val="bottom"/>
          </w:tcPr>
          <w:p w14:paraId="2A5BE15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518</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1E0FBB6"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93.6</w:t>
            </w:r>
          </w:p>
        </w:tc>
      </w:tr>
      <w:tr w:rsidR="002E28BD" w14:paraId="434F31E0" w14:textId="77777777">
        <w:trPr>
          <w:trHeight w:val="576"/>
          <w:jc w:val="center"/>
        </w:trPr>
        <w:tc>
          <w:tcPr>
            <w:tcW w:w="584" w:type="dxa"/>
            <w:tcBorders>
              <w:top w:val="single" w:sz="4" w:space="0" w:color="000000"/>
              <w:left w:val="single" w:sz="4" w:space="0" w:color="000000"/>
            </w:tcBorders>
            <w:shd w:val="clear" w:color="auto" w:fill="FFFFFF"/>
            <w:tcMar>
              <w:top w:w="0" w:type="dxa"/>
              <w:bottom w:w="0" w:type="dxa"/>
            </w:tcMar>
            <w:vAlign w:val="bottom"/>
          </w:tcPr>
          <w:p w14:paraId="5FB87F35"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3569" w:type="dxa"/>
            <w:tcBorders>
              <w:top w:val="single" w:sz="4" w:space="0" w:color="000000"/>
              <w:left w:val="single" w:sz="4" w:space="0" w:color="000000"/>
            </w:tcBorders>
            <w:shd w:val="clear" w:color="auto" w:fill="FFFFFF"/>
            <w:tcMar>
              <w:top w:w="0" w:type="dxa"/>
              <w:bottom w:w="0" w:type="dxa"/>
            </w:tcMar>
            <w:vAlign w:val="bottom"/>
          </w:tcPr>
          <w:p w14:paraId="43F504C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w:t>
            </w:r>
          </w:p>
        </w:tc>
        <w:tc>
          <w:tcPr>
            <w:tcW w:w="1338" w:type="dxa"/>
            <w:tcBorders>
              <w:top w:val="single" w:sz="4" w:space="0" w:color="000000"/>
              <w:left w:val="single" w:sz="4" w:space="0" w:color="000000"/>
            </w:tcBorders>
            <w:shd w:val="clear" w:color="auto" w:fill="FFFFFF"/>
            <w:tcMar>
              <w:top w:w="0" w:type="dxa"/>
              <w:bottom w:w="0" w:type="dxa"/>
            </w:tcMar>
          </w:tcPr>
          <w:p w14:paraId="29C5D93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VND/person/month</w:t>
            </w:r>
          </w:p>
        </w:tc>
        <w:tc>
          <w:tcPr>
            <w:tcW w:w="1253" w:type="dxa"/>
            <w:tcBorders>
              <w:top w:val="single" w:sz="4" w:space="0" w:color="000000"/>
              <w:left w:val="single" w:sz="4" w:space="0" w:color="000000"/>
            </w:tcBorders>
            <w:shd w:val="clear" w:color="auto" w:fill="FFFFFF"/>
            <w:tcMar>
              <w:top w:w="0" w:type="dxa"/>
              <w:bottom w:w="0" w:type="dxa"/>
            </w:tcMar>
            <w:vAlign w:val="bottom"/>
          </w:tcPr>
          <w:p w14:paraId="262A8A9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10,189</w:t>
            </w:r>
          </w:p>
        </w:tc>
        <w:tc>
          <w:tcPr>
            <w:tcW w:w="1273" w:type="dxa"/>
            <w:tcBorders>
              <w:top w:val="single" w:sz="4" w:space="0" w:color="000000"/>
              <w:left w:val="single" w:sz="4" w:space="0" w:color="000000"/>
            </w:tcBorders>
            <w:shd w:val="clear" w:color="auto" w:fill="FFFFFF"/>
            <w:tcMar>
              <w:top w:w="0" w:type="dxa"/>
              <w:bottom w:w="0" w:type="dxa"/>
            </w:tcMar>
            <w:vAlign w:val="bottom"/>
          </w:tcPr>
          <w:p w14:paraId="49138F8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15,114</w:t>
            </w:r>
          </w:p>
        </w:tc>
        <w:tc>
          <w:tcPr>
            <w:tcW w:w="99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E75411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148.3</w:t>
            </w:r>
          </w:p>
        </w:tc>
      </w:tr>
      <w:tr w:rsidR="002E28BD" w14:paraId="3DC4F3EB" w14:textId="77777777">
        <w:trPr>
          <w:trHeight w:val="610"/>
          <w:jc w:val="center"/>
        </w:trPr>
        <w:tc>
          <w:tcPr>
            <w:tcW w:w="5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0393764"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35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0EC913"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payout ratio/charter capital</w:t>
            </w:r>
          </w:p>
        </w:tc>
        <w:tc>
          <w:tcPr>
            <w:tcW w:w="133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44BE4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25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043DA71" w14:textId="77777777" w:rsidR="002E28BD" w:rsidRDefault="00DF3EF7">
            <w:pPr>
              <w:pBdr>
                <w:top w:val="nil"/>
                <w:left w:val="nil"/>
                <w:bottom w:val="nil"/>
                <w:right w:val="nil"/>
                <w:between w:val="nil"/>
              </w:pBdr>
              <w:spacing w:after="120" w:line="360" w:lineRule="auto"/>
              <w:jc w:val="center"/>
              <w:rPr>
                <w:rFonts w:ascii="Arial" w:eastAsia="Arial" w:hAnsi="Arial" w:cs="Arial"/>
                <w:sz w:val="20"/>
                <w:szCs w:val="20"/>
              </w:rPr>
            </w:pPr>
            <w:sdt>
              <w:sdtPr>
                <w:tag w:val="goog_rdk_0"/>
                <w:id w:val="-407462786"/>
              </w:sdtPr>
              <w:sdtEndPr/>
              <w:sdtContent>
                <w:r w:rsidR="00111BD5">
                  <w:rPr>
                    <w:rFonts w:ascii="Arial Unicode MS" w:hAnsi="Arial Unicode MS"/>
                    <w:sz w:val="20"/>
                  </w:rPr>
                  <w:t>≥10</w:t>
                </w:r>
              </w:sdtContent>
            </w:sdt>
          </w:p>
        </w:tc>
        <w:tc>
          <w:tcPr>
            <w:tcW w:w="1273"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620138B"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379A83F4"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100</w:t>
            </w:r>
          </w:p>
        </w:tc>
      </w:tr>
    </w:tbl>
    <w:p w14:paraId="47CE54C3"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Production and business plan for 2024:</w:t>
      </w:r>
    </w:p>
    <w:tbl>
      <w:tblPr>
        <w:tblStyle w:val="a0"/>
        <w:tblW w:w="9016" w:type="dxa"/>
        <w:jc w:val="center"/>
        <w:tblLayout w:type="fixed"/>
        <w:tblLook w:val="0000" w:firstRow="0" w:lastRow="0" w:firstColumn="0" w:lastColumn="0" w:noHBand="0" w:noVBand="0"/>
      </w:tblPr>
      <w:tblGrid>
        <w:gridCol w:w="686"/>
        <w:gridCol w:w="4497"/>
        <w:gridCol w:w="2185"/>
        <w:gridCol w:w="1648"/>
      </w:tblGrid>
      <w:tr w:rsidR="002E28BD" w14:paraId="087F414E" w14:textId="77777777">
        <w:trPr>
          <w:trHeight w:val="840"/>
          <w:jc w:val="center"/>
        </w:trPr>
        <w:tc>
          <w:tcPr>
            <w:tcW w:w="686" w:type="dxa"/>
            <w:tcBorders>
              <w:top w:val="single" w:sz="4" w:space="0" w:color="000000"/>
              <w:left w:val="single" w:sz="4" w:space="0" w:color="000000"/>
            </w:tcBorders>
            <w:shd w:val="clear" w:color="auto" w:fill="FFFFFF"/>
            <w:tcMar>
              <w:top w:w="0" w:type="dxa"/>
              <w:bottom w:w="0" w:type="dxa"/>
            </w:tcMar>
            <w:vAlign w:val="center"/>
          </w:tcPr>
          <w:p w14:paraId="5196A73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497" w:type="dxa"/>
            <w:tcBorders>
              <w:top w:val="single" w:sz="4" w:space="0" w:color="000000"/>
              <w:left w:val="single" w:sz="4" w:space="0" w:color="000000"/>
            </w:tcBorders>
            <w:shd w:val="clear" w:color="auto" w:fill="FFFFFF"/>
            <w:tcMar>
              <w:top w:w="0" w:type="dxa"/>
              <w:bottom w:w="0" w:type="dxa"/>
            </w:tcMar>
            <w:vAlign w:val="center"/>
          </w:tcPr>
          <w:p w14:paraId="1B9AA64E"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2185" w:type="dxa"/>
            <w:tcBorders>
              <w:top w:val="single" w:sz="4" w:space="0" w:color="000000"/>
              <w:left w:val="single" w:sz="4" w:space="0" w:color="000000"/>
            </w:tcBorders>
            <w:shd w:val="clear" w:color="auto" w:fill="FFFFFF"/>
            <w:tcMar>
              <w:top w:w="0" w:type="dxa"/>
              <w:bottom w:w="0" w:type="dxa"/>
            </w:tcMar>
            <w:vAlign w:val="center"/>
          </w:tcPr>
          <w:p w14:paraId="16EABB5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62159CF"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2024</w:t>
            </w:r>
          </w:p>
        </w:tc>
      </w:tr>
      <w:tr w:rsidR="002E28BD" w14:paraId="1CD6BCB4" w14:textId="77777777">
        <w:trPr>
          <w:trHeight w:val="504"/>
          <w:jc w:val="center"/>
        </w:trPr>
        <w:tc>
          <w:tcPr>
            <w:tcW w:w="686" w:type="dxa"/>
            <w:tcBorders>
              <w:top w:val="single" w:sz="4" w:space="0" w:color="000000"/>
              <w:left w:val="single" w:sz="4" w:space="0" w:color="000000"/>
            </w:tcBorders>
            <w:shd w:val="clear" w:color="auto" w:fill="FFFFFF"/>
            <w:tcMar>
              <w:top w:w="0" w:type="dxa"/>
              <w:bottom w:w="0" w:type="dxa"/>
            </w:tcMar>
            <w:vAlign w:val="center"/>
          </w:tcPr>
          <w:p w14:paraId="14F8FE6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497" w:type="dxa"/>
            <w:tcBorders>
              <w:top w:val="single" w:sz="4" w:space="0" w:color="000000"/>
              <w:left w:val="single" w:sz="4" w:space="0" w:color="000000"/>
            </w:tcBorders>
            <w:shd w:val="clear" w:color="auto" w:fill="FFFFFF"/>
            <w:tcMar>
              <w:top w:w="0" w:type="dxa"/>
              <w:bottom w:w="0" w:type="dxa"/>
            </w:tcMar>
            <w:vAlign w:val="bottom"/>
          </w:tcPr>
          <w:p w14:paraId="2F45016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overburden</w:t>
            </w:r>
          </w:p>
        </w:tc>
        <w:tc>
          <w:tcPr>
            <w:tcW w:w="2185" w:type="dxa"/>
            <w:tcBorders>
              <w:top w:val="single" w:sz="4" w:space="0" w:color="000000"/>
              <w:left w:val="single" w:sz="4" w:space="0" w:color="000000"/>
            </w:tcBorders>
            <w:shd w:val="clear" w:color="auto" w:fill="FFFFFF"/>
            <w:tcMar>
              <w:top w:w="0" w:type="dxa"/>
              <w:bottom w:w="0" w:type="dxa"/>
            </w:tcMar>
            <w:vAlign w:val="center"/>
          </w:tcPr>
          <w:p w14:paraId="055283B0" w14:textId="52C0FDD9"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m3</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992B92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44,000</w:t>
            </w:r>
          </w:p>
        </w:tc>
      </w:tr>
      <w:tr w:rsidR="002E28BD" w14:paraId="2BEC14EB" w14:textId="77777777">
        <w:trPr>
          <w:trHeight w:val="499"/>
          <w:jc w:val="center"/>
        </w:trPr>
        <w:tc>
          <w:tcPr>
            <w:tcW w:w="686" w:type="dxa"/>
            <w:tcBorders>
              <w:top w:val="single" w:sz="4" w:space="0" w:color="000000"/>
              <w:left w:val="single" w:sz="4" w:space="0" w:color="000000"/>
            </w:tcBorders>
            <w:shd w:val="clear" w:color="auto" w:fill="FFFFFF"/>
            <w:tcMar>
              <w:top w:w="0" w:type="dxa"/>
              <w:bottom w:w="0" w:type="dxa"/>
            </w:tcMar>
            <w:vAlign w:val="center"/>
          </w:tcPr>
          <w:p w14:paraId="7512188F"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497" w:type="dxa"/>
            <w:tcBorders>
              <w:top w:val="single" w:sz="4" w:space="0" w:color="000000"/>
              <w:left w:val="single" w:sz="4" w:space="0" w:color="000000"/>
            </w:tcBorders>
            <w:shd w:val="clear" w:color="auto" w:fill="FFFFFF"/>
            <w:tcMar>
              <w:top w:w="0" w:type="dxa"/>
              <w:bottom w:w="0" w:type="dxa"/>
            </w:tcMar>
            <w:vAlign w:val="center"/>
          </w:tcPr>
          <w:p w14:paraId="5245179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Raw coal production</w:t>
            </w:r>
          </w:p>
        </w:tc>
        <w:tc>
          <w:tcPr>
            <w:tcW w:w="2185" w:type="dxa"/>
            <w:tcBorders>
              <w:top w:val="single" w:sz="4" w:space="0" w:color="000000"/>
              <w:left w:val="single" w:sz="4" w:space="0" w:color="000000"/>
            </w:tcBorders>
            <w:shd w:val="clear" w:color="auto" w:fill="FFFFFF"/>
            <w:tcMar>
              <w:top w:w="0" w:type="dxa"/>
              <w:bottom w:w="0" w:type="dxa"/>
            </w:tcMar>
            <w:vAlign w:val="center"/>
          </w:tcPr>
          <w:p w14:paraId="3FA7D101" w14:textId="708EA481"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tons</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409ED94"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2,700</w:t>
            </w:r>
          </w:p>
        </w:tc>
      </w:tr>
      <w:tr w:rsidR="002E28BD" w14:paraId="54F13318" w14:textId="77777777">
        <w:trPr>
          <w:trHeight w:val="499"/>
          <w:jc w:val="center"/>
        </w:trPr>
        <w:tc>
          <w:tcPr>
            <w:tcW w:w="686" w:type="dxa"/>
            <w:tcBorders>
              <w:top w:val="single" w:sz="4" w:space="0" w:color="000000"/>
              <w:left w:val="single" w:sz="4" w:space="0" w:color="000000"/>
            </w:tcBorders>
            <w:shd w:val="clear" w:color="auto" w:fill="FFFFFF"/>
            <w:tcMar>
              <w:top w:w="0" w:type="dxa"/>
              <w:bottom w:w="0" w:type="dxa"/>
            </w:tcMar>
            <w:vAlign w:val="bottom"/>
          </w:tcPr>
          <w:p w14:paraId="1AEB4028"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497" w:type="dxa"/>
            <w:tcBorders>
              <w:top w:val="single" w:sz="4" w:space="0" w:color="000000"/>
              <w:left w:val="single" w:sz="4" w:space="0" w:color="000000"/>
            </w:tcBorders>
            <w:shd w:val="clear" w:color="auto" w:fill="FFFFFF"/>
            <w:tcMar>
              <w:top w:w="0" w:type="dxa"/>
              <w:bottom w:w="0" w:type="dxa"/>
            </w:tcMar>
            <w:vAlign w:val="bottom"/>
          </w:tcPr>
          <w:p w14:paraId="4E090EA1"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Coal consumption</w:t>
            </w:r>
          </w:p>
        </w:tc>
        <w:tc>
          <w:tcPr>
            <w:tcW w:w="2185" w:type="dxa"/>
            <w:tcBorders>
              <w:top w:val="single" w:sz="4" w:space="0" w:color="000000"/>
              <w:left w:val="single" w:sz="4" w:space="0" w:color="000000"/>
            </w:tcBorders>
            <w:shd w:val="clear" w:color="auto" w:fill="FFFFFF"/>
            <w:tcMar>
              <w:top w:w="0" w:type="dxa"/>
              <w:bottom w:w="0" w:type="dxa"/>
            </w:tcMar>
            <w:vAlign w:val="bottom"/>
          </w:tcPr>
          <w:p w14:paraId="4C8316FF" w14:textId="4ACA422A"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Thousand tons</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C160CA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2,727</w:t>
            </w:r>
          </w:p>
        </w:tc>
      </w:tr>
      <w:tr w:rsidR="002E28BD" w14:paraId="492D8E74" w14:textId="77777777">
        <w:trPr>
          <w:trHeight w:val="509"/>
          <w:jc w:val="center"/>
        </w:trPr>
        <w:tc>
          <w:tcPr>
            <w:tcW w:w="686" w:type="dxa"/>
            <w:tcBorders>
              <w:top w:val="single" w:sz="4" w:space="0" w:color="000000"/>
              <w:left w:val="single" w:sz="4" w:space="0" w:color="000000"/>
            </w:tcBorders>
            <w:shd w:val="clear" w:color="auto" w:fill="FFFFFF"/>
            <w:tcMar>
              <w:top w:w="0" w:type="dxa"/>
              <w:bottom w:w="0" w:type="dxa"/>
            </w:tcMar>
            <w:vAlign w:val="bottom"/>
          </w:tcPr>
          <w:p w14:paraId="44420F49"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497" w:type="dxa"/>
            <w:tcBorders>
              <w:top w:val="single" w:sz="4" w:space="0" w:color="000000"/>
              <w:left w:val="single" w:sz="4" w:space="0" w:color="000000"/>
            </w:tcBorders>
            <w:shd w:val="clear" w:color="auto" w:fill="FFFFFF"/>
            <w:tcMar>
              <w:top w:w="0" w:type="dxa"/>
              <w:bottom w:w="0" w:type="dxa"/>
            </w:tcMar>
            <w:vAlign w:val="bottom"/>
          </w:tcPr>
          <w:p w14:paraId="35514F1E"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2185" w:type="dxa"/>
            <w:tcBorders>
              <w:top w:val="single" w:sz="4" w:space="0" w:color="000000"/>
              <w:left w:val="single" w:sz="4" w:space="0" w:color="000000"/>
            </w:tcBorders>
            <w:shd w:val="clear" w:color="auto" w:fill="FFFFFF"/>
            <w:tcMar>
              <w:top w:w="0" w:type="dxa"/>
              <w:bottom w:w="0" w:type="dxa"/>
            </w:tcMar>
            <w:vAlign w:val="bottom"/>
          </w:tcPr>
          <w:p w14:paraId="0B55057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7BEAE3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5,006,810</w:t>
            </w:r>
          </w:p>
        </w:tc>
      </w:tr>
      <w:tr w:rsidR="002E28BD" w14:paraId="772E0321" w14:textId="77777777">
        <w:trPr>
          <w:trHeight w:val="499"/>
          <w:jc w:val="center"/>
        </w:trPr>
        <w:tc>
          <w:tcPr>
            <w:tcW w:w="686" w:type="dxa"/>
            <w:tcBorders>
              <w:top w:val="single" w:sz="4" w:space="0" w:color="000000"/>
              <w:left w:val="single" w:sz="4" w:space="0" w:color="000000"/>
            </w:tcBorders>
            <w:shd w:val="clear" w:color="auto" w:fill="FFFFFF"/>
            <w:tcMar>
              <w:top w:w="0" w:type="dxa"/>
              <w:bottom w:w="0" w:type="dxa"/>
            </w:tcMar>
            <w:vAlign w:val="center"/>
          </w:tcPr>
          <w:p w14:paraId="73BECD4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497" w:type="dxa"/>
            <w:tcBorders>
              <w:top w:val="single" w:sz="4" w:space="0" w:color="000000"/>
              <w:left w:val="single" w:sz="4" w:space="0" w:color="000000"/>
            </w:tcBorders>
            <w:shd w:val="clear" w:color="auto" w:fill="FFFFFF"/>
            <w:tcMar>
              <w:top w:w="0" w:type="dxa"/>
              <w:bottom w:w="0" w:type="dxa"/>
            </w:tcMar>
            <w:vAlign w:val="center"/>
          </w:tcPr>
          <w:p w14:paraId="79D5440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2185" w:type="dxa"/>
            <w:tcBorders>
              <w:top w:val="single" w:sz="4" w:space="0" w:color="000000"/>
              <w:left w:val="single" w:sz="4" w:space="0" w:color="000000"/>
            </w:tcBorders>
            <w:shd w:val="clear" w:color="auto" w:fill="FFFFFF"/>
            <w:tcMar>
              <w:top w:w="0" w:type="dxa"/>
              <w:bottom w:w="0" w:type="dxa"/>
            </w:tcMar>
            <w:vAlign w:val="center"/>
          </w:tcPr>
          <w:p w14:paraId="059EAAE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30F90A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84,486</w:t>
            </w:r>
          </w:p>
        </w:tc>
      </w:tr>
      <w:tr w:rsidR="002E28BD" w14:paraId="5A5A4F90" w14:textId="77777777">
        <w:trPr>
          <w:trHeight w:val="494"/>
          <w:jc w:val="center"/>
        </w:trPr>
        <w:tc>
          <w:tcPr>
            <w:tcW w:w="686" w:type="dxa"/>
            <w:tcBorders>
              <w:top w:val="single" w:sz="4" w:space="0" w:color="000000"/>
              <w:left w:val="single" w:sz="4" w:space="0" w:color="000000"/>
            </w:tcBorders>
            <w:shd w:val="clear" w:color="auto" w:fill="FFFFFF"/>
            <w:tcMar>
              <w:top w:w="0" w:type="dxa"/>
              <w:bottom w:w="0" w:type="dxa"/>
            </w:tcMar>
            <w:vAlign w:val="bottom"/>
          </w:tcPr>
          <w:p w14:paraId="3B3AF15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497" w:type="dxa"/>
            <w:tcBorders>
              <w:top w:val="single" w:sz="4" w:space="0" w:color="000000"/>
              <w:left w:val="single" w:sz="4" w:space="0" w:color="000000"/>
            </w:tcBorders>
            <w:shd w:val="clear" w:color="auto" w:fill="FFFFFF"/>
            <w:tcMar>
              <w:top w:w="0" w:type="dxa"/>
              <w:bottom w:w="0" w:type="dxa"/>
            </w:tcMar>
            <w:vAlign w:val="bottom"/>
          </w:tcPr>
          <w:p w14:paraId="5F4A57A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salary</w:t>
            </w:r>
          </w:p>
        </w:tc>
        <w:tc>
          <w:tcPr>
            <w:tcW w:w="2185" w:type="dxa"/>
            <w:tcBorders>
              <w:top w:val="single" w:sz="4" w:space="0" w:color="000000"/>
              <w:left w:val="single" w:sz="4" w:space="0" w:color="000000"/>
            </w:tcBorders>
            <w:shd w:val="clear" w:color="auto" w:fill="FFFFFF"/>
            <w:tcMar>
              <w:top w:w="0" w:type="dxa"/>
              <w:bottom w:w="0" w:type="dxa"/>
            </w:tcMar>
            <w:vAlign w:val="bottom"/>
          </w:tcPr>
          <w:p w14:paraId="421247F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 xml:space="preserve">VND 1,000 </w:t>
            </w:r>
            <w:r>
              <w:rPr>
                <w:rFonts w:ascii="Arial" w:hAnsi="Arial"/>
                <w:sz w:val="20"/>
              </w:rPr>
              <w:lastRenderedPageBreak/>
              <w:t>/person/month</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2607AF8"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lastRenderedPageBreak/>
              <w:t>11,604</w:t>
            </w:r>
          </w:p>
        </w:tc>
      </w:tr>
      <w:tr w:rsidR="002E28BD" w14:paraId="6796D038" w14:textId="77777777">
        <w:trPr>
          <w:trHeight w:val="504"/>
          <w:jc w:val="center"/>
        </w:trPr>
        <w:tc>
          <w:tcPr>
            <w:tcW w:w="686" w:type="dxa"/>
            <w:tcBorders>
              <w:top w:val="single" w:sz="4" w:space="0" w:color="000000"/>
              <w:left w:val="single" w:sz="4" w:space="0" w:color="000000"/>
            </w:tcBorders>
            <w:shd w:val="clear" w:color="auto" w:fill="FFFFFF"/>
            <w:tcMar>
              <w:top w:w="0" w:type="dxa"/>
              <w:bottom w:w="0" w:type="dxa"/>
            </w:tcMar>
            <w:vAlign w:val="bottom"/>
          </w:tcPr>
          <w:p w14:paraId="55AB2E7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7</w:t>
            </w:r>
          </w:p>
        </w:tc>
        <w:tc>
          <w:tcPr>
            <w:tcW w:w="4497" w:type="dxa"/>
            <w:tcBorders>
              <w:top w:val="single" w:sz="4" w:space="0" w:color="000000"/>
              <w:left w:val="single" w:sz="4" w:space="0" w:color="000000"/>
            </w:tcBorders>
            <w:shd w:val="clear" w:color="auto" w:fill="FFFFFF"/>
            <w:tcMar>
              <w:top w:w="0" w:type="dxa"/>
              <w:bottom w:w="0" w:type="dxa"/>
            </w:tcMar>
            <w:vAlign w:val="bottom"/>
          </w:tcPr>
          <w:p w14:paraId="23234FD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Construction investment</w:t>
            </w:r>
          </w:p>
        </w:tc>
        <w:tc>
          <w:tcPr>
            <w:tcW w:w="2185" w:type="dxa"/>
            <w:tcBorders>
              <w:top w:val="single" w:sz="4" w:space="0" w:color="000000"/>
              <w:left w:val="single" w:sz="4" w:space="0" w:color="000000"/>
            </w:tcBorders>
            <w:shd w:val="clear" w:color="auto" w:fill="FFFFFF"/>
            <w:tcMar>
              <w:top w:w="0" w:type="dxa"/>
              <w:bottom w:w="0" w:type="dxa"/>
            </w:tcMar>
            <w:vAlign w:val="bottom"/>
          </w:tcPr>
          <w:p w14:paraId="1CBA0009"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Million VND</w:t>
            </w:r>
          </w:p>
        </w:tc>
        <w:tc>
          <w:tcPr>
            <w:tcW w:w="164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6A01D7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391,902</w:t>
            </w:r>
          </w:p>
        </w:tc>
      </w:tr>
      <w:tr w:rsidR="002E28BD" w14:paraId="06239916" w14:textId="77777777">
        <w:trPr>
          <w:trHeight w:val="518"/>
          <w:jc w:val="center"/>
        </w:trPr>
        <w:tc>
          <w:tcPr>
            <w:tcW w:w="68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FBECF75"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44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29908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w:t>
            </w:r>
          </w:p>
        </w:tc>
        <w:tc>
          <w:tcPr>
            <w:tcW w:w="218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39B2AEB"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2CA4E1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&gt;10</w:t>
            </w:r>
          </w:p>
        </w:tc>
      </w:tr>
    </w:tbl>
    <w:p w14:paraId="1EB49FB6"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assigns the Board of Directors to announce a Decision on the Production and Business Plan for 2024 for the Company to organize the implementation. The General Meeting of Shareholders authorizes the Board of Directors of the Company to adjust the production and business plan for 2024 when the production and business conditions of the Company change or Vietnam National Coal and Mineral Industries Group adjusts or supplements (increases or decreases) the main targets in the joint business plan, but the adjustment of the plan by the Board of Directors must ensure that the actual profit is not lower than the planned profit approved by the Annual General Meeting of Shareholders in 2024.</w:t>
      </w:r>
    </w:p>
    <w:p w14:paraId="125FBDDF" w14:textId="03507C0B"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Report on the activities of the Company's Board of Directors in 2023 and</w:t>
      </w:r>
      <w:r w:rsidR="00DF3EF7">
        <w:rPr>
          <w:rFonts w:ascii="Arial" w:hAnsi="Arial"/>
          <w:sz w:val="20"/>
        </w:rPr>
        <w:t xml:space="preserve"> the report of the Independent m</w:t>
      </w:r>
      <w:r>
        <w:rPr>
          <w:rFonts w:ascii="Arial" w:hAnsi="Arial"/>
          <w:sz w:val="20"/>
        </w:rPr>
        <w:t>ember of the Board of Directors in 2023.</w:t>
      </w:r>
    </w:p>
    <w:p w14:paraId="7E03C2B0"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contracts and transactions between the Company and enterprises, major shareholders and related persons in 2024.</w:t>
      </w:r>
    </w:p>
    <w:p w14:paraId="7150E05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4. Approve the maximum foreign ownership rate</w:t>
      </w:r>
    </w:p>
    <w:p w14:paraId="46BBFE2A"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the maximum foreign ownership rate in the Company to be 35%.</w:t>
      </w:r>
    </w:p>
    <w:p w14:paraId="35127BE2"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the amendment and supplementation to the Company's Charter on organization and operation.</w:t>
      </w:r>
    </w:p>
    <w:p w14:paraId="212752C9"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6. Approve adjustment to the open-pit mining project in North Bang </w:t>
      </w:r>
      <w:proofErr w:type="spellStart"/>
      <w:r>
        <w:rPr>
          <w:rFonts w:ascii="Arial" w:hAnsi="Arial"/>
          <w:sz w:val="20"/>
        </w:rPr>
        <w:t>Danh</w:t>
      </w:r>
      <w:proofErr w:type="spellEnd"/>
      <w:r>
        <w:rPr>
          <w:rFonts w:ascii="Arial" w:hAnsi="Arial"/>
          <w:sz w:val="20"/>
        </w:rPr>
        <w:t xml:space="preserve"> area</w:t>
      </w:r>
    </w:p>
    <w:p w14:paraId="7C9FC002" w14:textId="77777777" w:rsidR="002E28BD" w:rsidRDefault="00111BD5">
      <w:pPr>
        <w:numPr>
          <w:ilvl w:val="0"/>
          <w:numId w:val="4"/>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Approve the policy to implement project adjustments due to the emergence of factors that bring higher efficiency to the project.</w:t>
      </w:r>
    </w:p>
    <w:p w14:paraId="17960883" w14:textId="77777777" w:rsidR="002E28BD" w:rsidRDefault="00111BD5">
      <w:pPr>
        <w:numPr>
          <w:ilvl w:val="0"/>
          <w:numId w:val="4"/>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Approve the adjustment of the construction time of the open-pit mining project in North Bang </w:t>
      </w:r>
      <w:proofErr w:type="spellStart"/>
      <w:r>
        <w:rPr>
          <w:rFonts w:ascii="Arial" w:hAnsi="Arial"/>
          <w:sz w:val="20"/>
        </w:rPr>
        <w:t>Danh</w:t>
      </w:r>
      <w:proofErr w:type="spellEnd"/>
      <w:r>
        <w:rPr>
          <w:rFonts w:ascii="Arial" w:hAnsi="Arial"/>
          <w:sz w:val="20"/>
        </w:rPr>
        <w:t xml:space="preserve"> area: From 2018 to 2024.</w:t>
      </w:r>
    </w:p>
    <w:p w14:paraId="71D13FC3"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authorizes the Board of Directors of the Company to direct and approve the following Decisions and procedures to implement the adjustment of the Project, complying with the provisions of the Law.</w:t>
      </w:r>
    </w:p>
    <w:p w14:paraId="03880232"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Audited Financial Statements 2023.</w:t>
      </w:r>
    </w:p>
    <w:p w14:paraId="13C8F070"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payment of remuneration and allowances for the Board of Directors and Supervisory Board in 2023 and the plan for payment of remuneration and allowances in 2024 for the Board of Directors and Supervisory Board.</w:t>
      </w:r>
    </w:p>
    <w:p w14:paraId="1EBCBBFA" w14:textId="77777777" w:rsidR="002E28BD" w:rsidRDefault="00111BD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approves the Report on the payment of allowances and remuneration for the Board of Directors and Supervisory Board in 2023 as follows: The total amount of allowances and remuneration paid to members of the Board of Directors and Supervisory Board in 2023 is VND 642,240,000, of which: (</w:t>
      </w:r>
      <w:proofErr w:type="spellStart"/>
      <w:r>
        <w:rPr>
          <w:rFonts w:ascii="Arial" w:hAnsi="Arial"/>
          <w:sz w:val="20"/>
        </w:rPr>
        <w:t>i</w:t>
      </w:r>
      <w:proofErr w:type="spellEnd"/>
      <w:r>
        <w:rPr>
          <w:rFonts w:ascii="Arial" w:hAnsi="Arial"/>
          <w:sz w:val="20"/>
        </w:rPr>
        <w:t xml:space="preserve">) Allowance for independent members of the Board of Directors is: VND </w:t>
      </w:r>
      <w:r>
        <w:rPr>
          <w:rFonts w:ascii="Arial" w:hAnsi="Arial"/>
          <w:sz w:val="20"/>
        </w:rPr>
        <w:lastRenderedPageBreak/>
        <w:t>262,800,000, equal to 100% of the General Mandate 2023; (ii) Remuneration of the Board of Directors and Supervisory Board is VND 379,440,000, equal to 100% of the General Mandate 2023.</w:t>
      </w:r>
    </w:p>
    <w:p w14:paraId="49841DA4" w14:textId="77777777" w:rsidR="002E28BD" w:rsidRDefault="00111BD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agrees on the payment of allowances and remuneration in 2024 for the positions of the Board of Directors and Supervisory Board of the Company as follows: The total amount of allowances and remuneration for members of the Board of Directors and Supervisory Board planned for 2024 is: VND 642,240,000, of which (</w:t>
      </w:r>
      <w:proofErr w:type="spellStart"/>
      <w:r>
        <w:rPr>
          <w:rFonts w:ascii="Arial" w:hAnsi="Arial"/>
          <w:sz w:val="20"/>
        </w:rPr>
        <w:t>i</w:t>
      </w:r>
      <w:proofErr w:type="spellEnd"/>
      <w:r>
        <w:rPr>
          <w:rFonts w:ascii="Arial" w:hAnsi="Arial"/>
          <w:sz w:val="20"/>
        </w:rPr>
        <w:t>) Allowance for independent members of the Board of Directors is: VND 262,800,000; (ii) Remuneration of the Board of Directors and Supervisory Board is VND 379,440,000, specifically:</w:t>
      </w:r>
    </w:p>
    <w:tbl>
      <w:tblPr>
        <w:tblStyle w:val="a1"/>
        <w:tblW w:w="8699" w:type="dxa"/>
        <w:jc w:val="center"/>
        <w:tblLayout w:type="fixed"/>
        <w:tblLook w:val="0000" w:firstRow="0" w:lastRow="0" w:firstColumn="0" w:lastColumn="0" w:noHBand="0" w:noVBand="0"/>
      </w:tblPr>
      <w:tblGrid>
        <w:gridCol w:w="605"/>
        <w:gridCol w:w="3586"/>
        <w:gridCol w:w="1061"/>
        <w:gridCol w:w="1661"/>
        <w:gridCol w:w="1786"/>
      </w:tblGrid>
      <w:tr w:rsidR="002E28BD" w14:paraId="370983B8" w14:textId="77777777">
        <w:trPr>
          <w:trHeight w:val="1190"/>
          <w:jc w:val="center"/>
        </w:trPr>
        <w:tc>
          <w:tcPr>
            <w:tcW w:w="605" w:type="dxa"/>
            <w:tcBorders>
              <w:top w:val="single" w:sz="4" w:space="0" w:color="000000"/>
              <w:left w:val="single" w:sz="4" w:space="0" w:color="000000"/>
            </w:tcBorders>
            <w:shd w:val="clear" w:color="auto" w:fill="FFFFFF"/>
            <w:tcMar>
              <w:top w:w="0" w:type="dxa"/>
              <w:bottom w:w="0" w:type="dxa"/>
            </w:tcMar>
            <w:vAlign w:val="center"/>
          </w:tcPr>
          <w:p w14:paraId="6C7202C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3586" w:type="dxa"/>
            <w:tcBorders>
              <w:top w:val="single" w:sz="4" w:space="0" w:color="000000"/>
              <w:left w:val="single" w:sz="4" w:space="0" w:color="000000"/>
            </w:tcBorders>
            <w:shd w:val="clear" w:color="auto" w:fill="FFFFFF"/>
            <w:tcMar>
              <w:top w:w="0" w:type="dxa"/>
              <w:bottom w:w="0" w:type="dxa"/>
            </w:tcMar>
            <w:vAlign w:val="center"/>
          </w:tcPr>
          <w:p w14:paraId="6CE18334"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Management position</w:t>
            </w:r>
          </w:p>
        </w:tc>
        <w:tc>
          <w:tcPr>
            <w:tcW w:w="1061" w:type="dxa"/>
            <w:tcBorders>
              <w:top w:val="single" w:sz="4" w:space="0" w:color="000000"/>
              <w:left w:val="single" w:sz="4" w:space="0" w:color="000000"/>
            </w:tcBorders>
            <w:shd w:val="clear" w:color="auto" w:fill="FFFFFF"/>
            <w:tcMar>
              <w:top w:w="0" w:type="dxa"/>
              <w:bottom w:w="0" w:type="dxa"/>
            </w:tcMar>
            <w:vAlign w:val="center"/>
          </w:tcPr>
          <w:p w14:paraId="227345EC"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Number (person)</w:t>
            </w:r>
          </w:p>
        </w:tc>
        <w:tc>
          <w:tcPr>
            <w:tcW w:w="1661" w:type="dxa"/>
            <w:tcBorders>
              <w:top w:val="single" w:sz="4" w:space="0" w:color="000000"/>
              <w:left w:val="single" w:sz="4" w:space="0" w:color="000000"/>
            </w:tcBorders>
            <w:shd w:val="clear" w:color="auto" w:fill="FFFFFF"/>
            <w:tcMar>
              <w:top w:w="0" w:type="dxa"/>
              <w:bottom w:w="0" w:type="dxa"/>
            </w:tcMar>
            <w:vAlign w:val="center"/>
          </w:tcPr>
          <w:p w14:paraId="3B4E3518"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Remuneration (thousand VND/year)</w:t>
            </w: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4257A2B3"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Allowance (thousand VND/year)</w:t>
            </w:r>
          </w:p>
        </w:tc>
      </w:tr>
      <w:tr w:rsidR="002E28BD" w14:paraId="3DFB73C3" w14:textId="77777777">
        <w:trPr>
          <w:trHeight w:val="398"/>
          <w:jc w:val="center"/>
        </w:trPr>
        <w:tc>
          <w:tcPr>
            <w:tcW w:w="605" w:type="dxa"/>
            <w:tcBorders>
              <w:top w:val="single" w:sz="4" w:space="0" w:color="000000"/>
              <w:left w:val="single" w:sz="4" w:space="0" w:color="000000"/>
            </w:tcBorders>
            <w:shd w:val="clear" w:color="auto" w:fill="FFFFFF"/>
            <w:tcMar>
              <w:top w:w="0" w:type="dxa"/>
              <w:bottom w:w="0" w:type="dxa"/>
            </w:tcMar>
            <w:vAlign w:val="center"/>
          </w:tcPr>
          <w:p w14:paraId="030F09C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586" w:type="dxa"/>
            <w:tcBorders>
              <w:top w:val="single" w:sz="4" w:space="0" w:color="000000"/>
              <w:left w:val="single" w:sz="4" w:space="0" w:color="000000"/>
            </w:tcBorders>
            <w:shd w:val="clear" w:color="auto" w:fill="FFFFFF"/>
            <w:tcMar>
              <w:top w:w="0" w:type="dxa"/>
              <w:bottom w:w="0" w:type="dxa"/>
            </w:tcMar>
            <w:vAlign w:val="center"/>
          </w:tcPr>
          <w:p w14:paraId="72F5F7C5"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061" w:type="dxa"/>
            <w:tcBorders>
              <w:top w:val="single" w:sz="4" w:space="0" w:color="000000"/>
              <w:left w:val="single" w:sz="4" w:space="0" w:color="000000"/>
            </w:tcBorders>
            <w:shd w:val="clear" w:color="auto" w:fill="FFFFFF"/>
            <w:tcMar>
              <w:top w:w="0" w:type="dxa"/>
              <w:bottom w:w="0" w:type="dxa"/>
            </w:tcMar>
            <w:vAlign w:val="center"/>
          </w:tcPr>
          <w:p w14:paraId="612F256C"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01</w:t>
            </w:r>
          </w:p>
        </w:tc>
        <w:tc>
          <w:tcPr>
            <w:tcW w:w="1661" w:type="dxa"/>
            <w:tcBorders>
              <w:top w:val="single" w:sz="4" w:space="0" w:color="000000"/>
              <w:left w:val="single" w:sz="4" w:space="0" w:color="000000"/>
            </w:tcBorders>
            <w:shd w:val="clear" w:color="auto" w:fill="FFFFFF"/>
            <w:tcMar>
              <w:top w:w="0" w:type="dxa"/>
              <w:bottom w:w="0" w:type="dxa"/>
            </w:tcMar>
            <w:vAlign w:val="center"/>
          </w:tcPr>
          <w:p w14:paraId="68BB7D8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61,680</w:t>
            </w: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7BCB369F" w14:textId="77777777" w:rsidR="002E28BD" w:rsidRDefault="002E28BD">
            <w:pPr>
              <w:spacing w:after="120" w:line="360" w:lineRule="auto"/>
              <w:jc w:val="center"/>
              <w:rPr>
                <w:rFonts w:ascii="Arial" w:eastAsia="Arial" w:hAnsi="Arial" w:cs="Arial"/>
                <w:sz w:val="20"/>
                <w:szCs w:val="20"/>
              </w:rPr>
            </w:pPr>
          </w:p>
        </w:tc>
      </w:tr>
      <w:tr w:rsidR="002E28BD" w14:paraId="683DC062" w14:textId="77777777">
        <w:trPr>
          <w:trHeight w:val="374"/>
          <w:jc w:val="center"/>
        </w:trPr>
        <w:tc>
          <w:tcPr>
            <w:tcW w:w="605" w:type="dxa"/>
            <w:tcBorders>
              <w:top w:val="single" w:sz="4" w:space="0" w:color="000000"/>
              <w:left w:val="single" w:sz="4" w:space="0" w:color="000000"/>
            </w:tcBorders>
            <w:shd w:val="clear" w:color="auto" w:fill="FFFFFF"/>
            <w:tcMar>
              <w:top w:w="0" w:type="dxa"/>
              <w:bottom w:w="0" w:type="dxa"/>
            </w:tcMar>
          </w:tcPr>
          <w:p w14:paraId="7294DF5F"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586" w:type="dxa"/>
            <w:tcBorders>
              <w:top w:val="single" w:sz="4" w:space="0" w:color="000000"/>
              <w:left w:val="single" w:sz="4" w:space="0" w:color="000000"/>
            </w:tcBorders>
            <w:shd w:val="clear" w:color="auto" w:fill="FFFFFF"/>
            <w:tcMar>
              <w:top w:w="0" w:type="dxa"/>
              <w:bottom w:w="0" w:type="dxa"/>
            </w:tcMar>
          </w:tcPr>
          <w:p w14:paraId="544A300E"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1061" w:type="dxa"/>
            <w:tcBorders>
              <w:top w:val="single" w:sz="4" w:space="0" w:color="000000"/>
              <w:left w:val="single" w:sz="4" w:space="0" w:color="000000"/>
            </w:tcBorders>
            <w:shd w:val="clear" w:color="auto" w:fill="FFFFFF"/>
            <w:tcMar>
              <w:top w:w="0" w:type="dxa"/>
              <w:bottom w:w="0" w:type="dxa"/>
            </w:tcMar>
          </w:tcPr>
          <w:p w14:paraId="3D225C5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03</w:t>
            </w:r>
          </w:p>
        </w:tc>
        <w:tc>
          <w:tcPr>
            <w:tcW w:w="1661" w:type="dxa"/>
            <w:tcBorders>
              <w:top w:val="single" w:sz="4" w:space="0" w:color="000000"/>
              <w:left w:val="single" w:sz="4" w:space="0" w:color="000000"/>
            </w:tcBorders>
            <w:shd w:val="clear" w:color="auto" w:fill="FFFFFF"/>
            <w:tcMar>
              <w:top w:w="0" w:type="dxa"/>
              <w:bottom w:w="0" w:type="dxa"/>
            </w:tcMar>
          </w:tcPr>
          <w:p w14:paraId="6A3CFB26"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157,680</w:t>
            </w: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407BCB94" w14:textId="77777777" w:rsidR="002E28BD" w:rsidRDefault="002E28BD">
            <w:pPr>
              <w:spacing w:after="120" w:line="360" w:lineRule="auto"/>
              <w:jc w:val="center"/>
              <w:rPr>
                <w:rFonts w:ascii="Arial" w:eastAsia="Arial" w:hAnsi="Arial" w:cs="Arial"/>
                <w:sz w:val="20"/>
                <w:szCs w:val="20"/>
              </w:rPr>
            </w:pPr>
          </w:p>
        </w:tc>
      </w:tr>
      <w:tr w:rsidR="002E28BD" w14:paraId="56061090" w14:textId="77777777">
        <w:trPr>
          <w:trHeight w:val="403"/>
          <w:jc w:val="center"/>
        </w:trPr>
        <w:tc>
          <w:tcPr>
            <w:tcW w:w="605" w:type="dxa"/>
            <w:tcBorders>
              <w:top w:val="single" w:sz="4" w:space="0" w:color="000000"/>
              <w:left w:val="single" w:sz="4" w:space="0" w:color="000000"/>
            </w:tcBorders>
            <w:shd w:val="clear" w:color="auto" w:fill="FFFFFF"/>
            <w:tcMar>
              <w:top w:w="0" w:type="dxa"/>
              <w:bottom w:w="0" w:type="dxa"/>
            </w:tcMar>
          </w:tcPr>
          <w:p w14:paraId="240A64B7"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586" w:type="dxa"/>
            <w:tcBorders>
              <w:top w:val="single" w:sz="4" w:space="0" w:color="000000"/>
              <w:left w:val="single" w:sz="4" w:space="0" w:color="000000"/>
            </w:tcBorders>
            <w:shd w:val="clear" w:color="auto" w:fill="FFFFFF"/>
            <w:tcMar>
              <w:top w:w="0" w:type="dxa"/>
              <w:bottom w:w="0" w:type="dxa"/>
            </w:tcMar>
          </w:tcPr>
          <w:p w14:paraId="3DC696A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Independent member of the Board of Directors</w:t>
            </w:r>
          </w:p>
        </w:tc>
        <w:tc>
          <w:tcPr>
            <w:tcW w:w="1061" w:type="dxa"/>
            <w:tcBorders>
              <w:top w:val="single" w:sz="4" w:space="0" w:color="000000"/>
              <w:left w:val="single" w:sz="4" w:space="0" w:color="000000"/>
            </w:tcBorders>
            <w:shd w:val="clear" w:color="auto" w:fill="FFFFFF"/>
            <w:tcMar>
              <w:top w:w="0" w:type="dxa"/>
              <w:bottom w:w="0" w:type="dxa"/>
            </w:tcMar>
          </w:tcPr>
          <w:p w14:paraId="068E33C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01</w:t>
            </w:r>
          </w:p>
        </w:tc>
        <w:tc>
          <w:tcPr>
            <w:tcW w:w="1661" w:type="dxa"/>
            <w:tcBorders>
              <w:top w:val="single" w:sz="4" w:space="0" w:color="000000"/>
              <w:left w:val="single" w:sz="4" w:space="0" w:color="000000"/>
            </w:tcBorders>
            <w:shd w:val="clear" w:color="auto" w:fill="FFFFFF"/>
            <w:tcMar>
              <w:top w:w="0" w:type="dxa"/>
              <w:bottom w:w="0" w:type="dxa"/>
            </w:tcMar>
          </w:tcPr>
          <w:p w14:paraId="1865FC9E" w14:textId="77777777" w:rsidR="002E28BD" w:rsidRDefault="002E28BD">
            <w:pPr>
              <w:spacing w:after="120" w:line="360" w:lineRule="auto"/>
              <w:jc w:val="center"/>
              <w:rPr>
                <w:rFonts w:ascii="Arial" w:eastAsia="Arial" w:hAnsi="Arial" w:cs="Arial"/>
                <w:sz w:val="20"/>
                <w:szCs w:val="20"/>
              </w:rPr>
            </w:pP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1B98F54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262,800</w:t>
            </w:r>
          </w:p>
        </w:tc>
      </w:tr>
      <w:tr w:rsidR="002E28BD" w14:paraId="7570632A" w14:textId="77777777">
        <w:trPr>
          <w:trHeight w:val="394"/>
          <w:jc w:val="center"/>
        </w:trPr>
        <w:tc>
          <w:tcPr>
            <w:tcW w:w="605" w:type="dxa"/>
            <w:tcBorders>
              <w:top w:val="single" w:sz="4" w:space="0" w:color="000000"/>
              <w:left w:val="single" w:sz="4" w:space="0" w:color="000000"/>
            </w:tcBorders>
            <w:shd w:val="clear" w:color="auto" w:fill="FFFFFF"/>
            <w:tcMar>
              <w:top w:w="0" w:type="dxa"/>
              <w:bottom w:w="0" w:type="dxa"/>
            </w:tcMar>
          </w:tcPr>
          <w:p w14:paraId="41B63C81"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586" w:type="dxa"/>
            <w:tcBorders>
              <w:top w:val="single" w:sz="4" w:space="0" w:color="000000"/>
              <w:left w:val="single" w:sz="4" w:space="0" w:color="000000"/>
            </w:tcBorders>
            <w:shd w:val="clear" w:color="auto" w:fill="FFFFFF"/>
            <w:tcMar>
              <w:top w:w="0" w:type="dxa"/>
              <w:bottom w:w="0" w:type="dxa"/>
            </w:tcMar>
          </w:tcPr>
          <w:p w14:paraId="073BF2B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1061" w:type="dxa"/>
            <w:tcBorders>
              <w:top w:val="single" w:sz="4" w:space="0" w:color="000000"/>
              <w:left w:val="single" w:sz="4" w:space="0" w:color="000000"/>
            </w:tcBorders>
            <w:shd w:val="clear" w:color="auto" w:fill="FFFFFF"/>
            <w:tcMar>
              <w:top w:w="0" w:type="dxa"/>
              <w:bottom w:w="0" w:type="dxa"/>
            </w:tcMar>
          </w:tcPr>
          <w:p w14:paraId="21DA0AE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01</w:t>
            </w:r>
          </w:p>
        </w:tc>
        <w:tc>
          <w:tcPr>
            <w:tcW w:w="1661" w:type="dxa"/>
            <w:tcBorders>
              <w:top w:val="single" w:sz="4" w:space="0" w:color="000000"/>
              <w:left w:val="single" w:sz="4" w:space="0" w:color="000000"/>
            </w:tcBorders>
            <w:shd w:val="clear" w:color="auto" w:fill="FFFFFF"/>
            <w:tcMar>
              <w:top w:w="0" w:type="dxa"/>
              <w:bottom w:w="0" w:type="dxa"/>
            </w:tcMar>
          </w:tcPr>
          <w:p w14:paraId="44E105E7"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54,960</w:t>
            </w: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07AC3B6C" w14:textId="77777777" w:rsidR="002E28BD" w:rsidRDefault="002E28BD">
            <w:pPr>
              <w:spacing w:after="120" w:line="360" w:lineRule="auto"/>
              <w:jc w:val="center"/>
              <w:rPr>
                <w:rFonts w:ascii="Arial" w:eastAsia="Arial" w:hAnsi="Arial" w:cs="Arial"/>
                <w:sz w:val="20"/>
                <w:szCs w:val="20"/>
              </w:rPr>
            </w:pPr>
          </w:p>
        </w:tc>
      </w:tr>
      <w:tr w:rsidR="002E28BD" w14:paraId="718CEE94" w14:textId="77777777">
        <w:trPr>
          <w:trHeight w:val="384"/>
          <w:jc w:val="center"/>
        </w:trPr>
        <w:tc>
          <w:tcPr>
            <w:tcW w:w="605" w:type="dxa"/>
            <w:tcBorders>
              <w:top w:val="single" w:sz="4" w:space="0" w:color="000000"/>
              <w:left w:val="single" w:sz="4" w:space="0" w:color="000000"/>
            </w:tcBorders>
            <w:shd w:val="clear" w:color="auto" w:fill="FFFFFF"/>
            <w:tcMar>
              <w:top w:w="0" w:type="dxa"/>
              <w:bottom w:w="0" w:type="dxa"/>
            </w:tcMar>
          </w:tcPr>
          <w:p w14:paraId="739946A7"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3586" w:type="dxa"/>
            <w:tcBorders>
              <w:top w:val="single" w:sz="4" w:space="0" w:color="000000"/>
              <w:left w:val="single" w:sz="4" w:space="0" w:color="000000"/>
            </w:tcBorders>
            <w:shd w:val="clear" w:color="auto" w:fill="FFFFFF"/>
            <w:tcMar>
              <w:top w:w="0" w:type="dxa"/>
              <w:bottom w:w="0" w:type="dxa"/>
            </w:tcMar>
          </w:tcPr>
          <w:p w14:paraId="5A38735F"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061" w:type="dxa"/>
            <w:tcBorders>
              <w:top w:val="single" w:sz="4" w:space="0" w:color="000000"/>
              <w:left w:val="single" w:sz="4" w:space="0" w:color="000000"/>
            </w:tcBorders>
            <w:shd w:val="clear" w:color="auto" w:fill="FFFFFF"/>
            <w:tcMar>
              <w:top w:w="0" w:type="dxa"/>
              <w:bottom w:w="0" w:type="dxa"/>
            </w:tcMar>
          </w:tcPr>
          <w:p w14:paraId="42AEE358"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02</w:t>
            </w:r>
          </w:p>
        </w:tc>
        <w:tc>
          <w:tcPr>
            <w:tcW w:w="1661" w:type="dxa"/>
            <w:tcBorders>
              <w:top w:val="single" w:sz="4" w:space="0" w:color="000000"/>
              <w:left w:val="single" w:sz="4" w:space="0" w:color="000000"/>
            </w:tcBorders>
            <w:shd w:val="clear" w:color="auto" w:fill="FFFFFF"/>
            <w:tcMar>
              <w:top w:w="0" w:type="dxa"/>
              <w:bottom w:w="0" w:type="dxa"/>
            </w:tcMar>
          </w:tcPr>
          <w:p w14:paraId="4A548D05"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105,120</w:t>
            </w:r>
          </w:p>
        </w:tc>
        <w:tc>
          <w:tcPr>
            <w:tcW w:w="1786" w:type="dxa"/>
            <w:tcBorders>
              <w:top w:val="single" w:sz="4" w:space="0" w:color="000000"/>
              <w:left w:val="single" w:sz="4" w:space="0" w:color="000000"/>
              <w:right w:val="single" w:sz="4" w:space="0" w:color="000000"/>
            </w:tcBorders>
            <w:shd w:val="clear" w:color="auto" w:fill="FFFFFF"/>
            <w:tcMar>
              <w:top w:w="0" w:type="dxa"/>
              <w:bottom w:w="0" w:type="dxa"/>
            </w:tcMar>
          </w:tcPr>
          <w:p w14:paraId="28B2E1CB" w14:textId="77777777" w:rsidR="002E28BD" w:rsidRDefault="002E28BD">
            <w:pPr>
              <w:spacing w:after="120" w:line="360" w:lineRule="auto"/>
              <w:jc w:val="center"/>
              <w:rPr>
                <w:rFonts w:ascii="Arial" w:eastAsia="Arial" w:hAnsi="Arial" w:cs="Arial"/>
                <w:sz w:val="20"/>
                <w:szCs w:val="20"/>
              </w:rPr>
            </w:pPr>
          </w:p>
        </w:tc>
      </w:tr>
      <w:tr w:rsidR="002E28BD" w14:paraId="636BC9DF" w14:textId="77777777">
        <w:trPr>
          <w:trHeight w:val="586"/>
          <w:jc w:val="center"/>
        </w:trPr>
        <w:tc>
          <w:tcPr>
            <w:tcW w:w="4191" w:type="dxa"/>
            <w:gridSpan w:val="2"/>
            <w:tcBorders>
              <w:top w:val="single" w:sz="4" w:space="0" w:color="000000"/>
              <w:left w:val="single" w:sz="4" w:space="0" w:color="000000"/>
              <w:bottom w:val="single" w:sz="4" w:space="0" w:color="000000"/>
            </w:tcBorders>
            <w:shd w:val="clear" w:color="auto" w:fill="FFFFFF"/>
            <w:tcMar>
              <w:top w:w="0" w:type="dxa"/>
              <w:bottom w:w="0" w:type="dxa"/>
            </w:tcMar>
          </w:tcPr>
          <w:p w14:paraId="46A988B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w:t>
            </w:r>
          </w:p>
        </w:tc>
        <w:tc>
          <w:tcPr>
            <w:tcW w:w="1061" w:type="dxa"/>
            <w:tcBorders>
              <w:top w:val="single" w:sz="4" w:space="0" w:color="000000"/>
              <w:left w:val="single" w:sz="4" w:space="0" w:color="000000"/>
              <w:bottom w:val="single" w:sz="4" w:space="0" w:color="000000"/>
            </w:tcBorders>
            <w:shd w:val="clear" w:color="auto" w:fill="FFFFFF"/>
            <w:tcMar>
              <w:top w:w="0" w:type="dxa"/>
              <w:bottom w:w="0" w:type="dxa"/>
            </w:tcMar>
          </w:tcPr>
          <w:p w14:paraId="70EDE1EA" w14:textId="77777777" w:rsidR="002E28BD" w:rsidRDefault="002E28BD">
            <w:pPr>
              <w:spacing w:after="120" w:line="360" w:lineRule="auto"/>
              <w:jc w:val="center"/>
              <w:rPr>
                <w:rFonts w:ascii="Arial" w:eastAsia="Arial" w:hAnsi="Arial" w:cs="Arial"/>
                <w:sz w:val="20"/>
                <w:szCs w:val="20"/>
              </w:rPr>
            </w:pPr>
          </w:p>
        </w:tc>
        <w:tc>
          <w:tcPr>
            <w:tcW w:w="166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00B24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379,440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2C38FAD"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262,800</w:t>
            </w:r>
          </w:p>
        </w:tc>
      </w:tr>
    </w:tbl>
    <w:p w14:paraId="392C4AAD"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Payment method:</w:t>
      </w:r>
    </w:p>
    <w:p w14:paraId="7339A071" w14:textId="77777777" w:rsidR="002E28BD" w:rsidRDefault="00111BD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Allowance for independent members of the Board of Directors is advanced monthly at 80%. At the end of the year, based on the Company's production and business performance and the level of work completion, the Company pays the remaining amount to the position of independent member of the Board of Directors. </w:t>
      </w:r>
    </w:p>
    <w:p w14:paraId="04CD07D7" w14:textId="77777777" w:rsidR="002E28BD" w:rsidRDefault="00111BD5">
      <w:pPr>
        <w:numPr>
          <w:ilvl w:val="0"/>
          <w:numId w:val="3"/>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Remuneration:</w:t>
      </w:r>
    </w:p>
    <w:p w14:paraId="48B26F17" w14:textId="77777777" w:rsidR="002E28BD" w:rsidRDefault="00111BD5">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 xml:space="preserve">For the non-executive positions of the Board of Directors and Supervisory Board who are the Company's personnel, 80% of the non-executive remuneration is temporarily paid monthly. At the end of the year, based on the Company's production and business performance and the level of work completion, the Company pays the remaining amount to the positions. </w:t>
      </w:r>
    </w:p>
    <w:p w14:paraId="005C90BD" w14:textId="77777777" w:rsidR="002E28BD" w:rsidRDefault="00111BD5">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For the non-executive positions of the Board of Directors and Supervisory Board who are representatives of the Group, the Company temporarily pays 80% of the non-executive remuneration quarterly and transfers to the Group's account. At the end of the year, based on the production and business performance and the level of work completion of the positions, the Company settles the remaining non-executive remuneration for the positions and transfers to the Group according to regulations.</w:t>
      </w:r>
      <w:r>
        <w:rPr>
          <w:rFonts w:ascii="Arial" w:hAnsi="Arial"/>
          <w:sz w:val="20"/>
        </w:rPr>
        <w:cr/>
      </w:r>
      <w:r>
        <w:rPr>
          <w:rFonts w:ascii="Arial" w:hAnsi="Arial"/>
          <w:sz w:val="20"/>
        </w:rPr>
        <w:br/>
      </w:r>
      <w:r>
        <w:rPr>
          <w:rFonts w:ascii="Arial" w:hAnsi="Arial"/>
          <w:sz w:val="20"/>
        </w:rPr>
        <w:lastRenderedPageBreak/>
        <w:t xml:space="preserve"> </w:t>
      </w:r>
    </w:p>
    <w:p w14:paraId="7A294BCB" w14:textId="77777777" w:rsidR="002E28BD" w:rsidRDefault="00111BD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the profit distribution plan for 2023:</w:t>
      </w:r>
    </w:p>
    <w:p w14:paraId="1D4DA03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General Meeting agrees on the dividend payment rate for 2023 of 10% of charter capital (equivalent to VND 1,000/share) and approves the allocation of funds in 2023 with the following figures:</w:t>
      </w:r>
    </w:p>
    <w:tbl>
      <w:tblPr>
        <w:tblStyle w:val="a2"/>
        <w:tblW w:w="9016" w:type="dxa"/>
        <w:jc w:val="center"/>
        <w:tblLayout w:type="fixed"/>
        <w:tblLook w:val="0000" w:firstRow="0" w:lastRow="0" w:firstColumn="0" w:lastColumn="0" w:noHBand="0" w:noVBand="0"/>
      </w:tblPr>
      <w:tblGrid>
        <w:gridCol w:w="602"/>
        <w:gridCol w:w="4519"/>
        <w:gridCol w:w="1911"/>
        <w:gridCol w:w="1984"/>
      </w:tblGrid>
      <w:tr w:rsidR="002E28BD" w14:paraId="7379D331" w14:textId="77777777">
        <w:trPr>
          <w:trHeight w:val="917"/>
          <w:jc w:val="center"/>
        </w:trPr>
        <w:tc>
          <w:tcPr>
            <w:tcW w:w="602" w:type="dxa"/>
            <w:tcBorders>
              <w:top w:val="single" w:sz="4" w:space="0" w:color="000000"/>
              <w:left w:val="single" w:sz="4" w:space="0" w:color="000000"/>
            </w:tcBorders>
            <w:shd w:val="clear" w:color="auto" w:fill="FFFFFF"/>
            <w:tcMar>
              <w:top w:w="0" w:type="dxa"/>
              <w:bottom w:w="0" w:type="dxa"/>
            </w:tcMar>
            <w:vAlign w:val="center"/>
          </w:tcPr>
          <w:p w14:paraId="4608FED4"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519" w:type="dxa"/>
            <w:tcBorders>
              <w:top w:val="single" w:sz="4" w:space="0" w:color="000000"/>
              <w:left w:val="single" w:sz="4" w:space="0" w:color="000000"/>
            </w:tcBorders>
            <w:shd w:val="clear" w:color="auto" w:fill="FFFFFF"/>
            <w:tcMar>
              <w:top w:w="0" w:type="dxa"/>
              <w:bottom w:w="0" w:type="dxa"/>
            </w:tcMar>
            <w:vAlign w:val="center"/>
          </w:tcPr>
          <w:p w14:paraId="6224ED78"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Content</w:t>
            </w:r>
          </w:p>
        </w:tc>
        <w:tc>
          <w:tcPr>
            <w:tcW w:w="1911" w:type="dxa"/>
            <w:tcBorders>
              <w:top w:val="single" w:sz="4" w:space="0" w:color="000000"/>
              <w:left w:val="single" w:sz="4" w:space="0" w:color="000000"/>
            </w:tcBorders>
            <w:shd w:val="clear" w:color="auto" w:fill="FFFFFF"/>
            <w:tcMar>
              <w:top w:w="0" w:type="dxa"/>
              <w:bottom w:w="0" w:type="dxa"/>
            </w:tcMar>
            <w:vAlign w:val="center"/>
          </w:tcPr>
          <w:p w14:paraId="3DB7085C"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 (VND)</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1C87D40"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Note</w:t>
            </w:r>
          </w:p>
        </w:tc>
      </w:tr>
      <w:tr w:rsidR="002E28BD" w14:paraId="55D41520" w14:textId="77777777">
        <w:trPr>
          <w:trHeight w:val="269"/>
          <w:jc w:val="center"/>
        </w:trPr>
        <w:tc>
          <w:tcPr>
            <w:tcW w:w="602" w:type="dxa"/>
            <w:tcBorders>
              <w:top w:val="single" w:sz="4" w:space="0" w:color="000000"/>
              <w:left w:val="single" w:sz="4" w:space="0" w:color="000000"/>
            </w:tcBorders>
            <w:shd w:val="clear" w:color="auto" w:fill="FFFFFF"/>
            <w:tcMar>
              <w:top w:w="0" w:type="dxa"/>
              <w:bottom w:w="0" w:type="dxa"/>
            </w:tcMar>
          </w:tcPr>
          <w:p w14:paraId="23A801E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519" w:type="dxa"/>
            <w:tcBorders>
              <w:top w:val="single" w:sz="4" w:space="0" w:color="000000"/>
              <w:left w:val="single" w:sz="4" w:space="0" w:color="000000"/>
            </w:tcBorders>
            <w:shd w:val="clear" w:color="auto" w:fill="FFFFFF"/>
            <w:tcMar>
              <w:top w:w="0" w:type="dxa"/>
              <w:bottom w:w="0" w:type="dxa"/>
            </w:tcMar>
          </w:tcPr>
          <w:p w14:paraId="7F5EB623"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911" w:type="dxa"/>
            <w:tcBorders>
              <w:top w:val="single" w:sz="4" w:space="0" w:color="000000"/>
              <w:left w:val="single" w:sz="4" w:space="0" w:color="000000"/>
            </w:tcBorders>
            <w:shd w:val="clear" w:color="auto" w:fill="FFFFFF"/>
            <w:tcMar>
              <w:top w:w="0" w:type="dxa"/>
              <w:bottom w:w="0" w:type="dxa"/>
            </w:tcMar>
          </w:tcPr>
          <w:p w14:paraId="6F7E632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90,173,888,654</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5EAE0A75" w14:textId="77777777" w:rsidR="002E28BD" w:rsidRDefault="002E28BD">
            <w:pPr>
              <w:spacing w:after="120" w:line="360" w:lineRule="auto"/>
              <w:rPr>
                <w:rFonts w:ascii="Arial" w:eastAsia="Arial" w:hAnsi="Arial" w:cs="Arial"/>
                <w:sz w:val="20"/>
                <w:szCs w:val="20"/>
              </w:rPr>
            </w:pPr>
          </w:p>
        </w:tc>
      </w:tr>
      <w:tr w:rsidR="002E28BD" w14:paraId="2B1F2585" w14:textId="77777777">
        <w:trPr>
          <w:trHeight w:val="269"/>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443B58A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519" w:type="dxa"/>
            <w:tcBorders>
              <w:top w:val="single" w:sz="4" w:space="0" w:color="000000"/>
              <w:left w:val="single" w:sz="4" w:space="0" w:color="000000"/>
            </w:tcBorders>
            <w:shd w:val="clear" w:color="auto" w:fill="FFFFFF"/>
            <w:tcMar>
              <w:top w:w="0" w:type="dxa"/>
              <w:bottom w:w="0" w:type="dxa"/>
            </w:tcMar>
            <w:vAlign w:val="bottom"/>
          </w:tcPr>
          <w:p w14:paraId="33C5957A"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 Corporate income tax</w:t>
            </w:r>
          </w:p>
        </w:tc>
        <w:tc>
          <w:tcPr>
            <w:tcW w:w="1911" w:type="dxa"/>
            <w:tcBorders>
              <w:top w:val="single" w:sz="4" w:space="0" w:color="000000"/>
              <w:left w:val="single" w:sz="4" w:space="0" w:color="000000"/>
            </w:tcBorders>
            <w:shd w:val="clear" w:color="auto" w:fill="FFFFFF"/>
            <w:tcMar>
              <w:top w:w="0" w:type="dxa"/>
              <w:bottom w:w="0" w:type="dxa"/>
            </w:tcMar>
            <w:vAlign w:val="bottom"/>
          </w:tcPr>
          <w:p w14:paraId="3E043EBD"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33,081,971,579</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43E7B532" w14:textId="77777777" w:rsidR="002E28BD" w:rsidRDefault="002E28BD">
            <w:pPr>
              <w:spacing w:after="120" w:line="360" w:lineRule="auto"/>
              <w:rPr>
                <w:rFonts w:ascii="Arial" w:eastAsia="Arial" w:hAnsi="Arial" w:cs="Arial"/>
                <w:sz w:val="20"/>
                <w:szCs w:val="20"/>
              </w:rPr>
            </w:pPr>
          </w:p>
        </w:tc>
      </w:tr>
      <w:tr w:rsidR="002E28BD" w14:paraId="19E67C4F" w14:textId="77777777">
        <w:trPr>
          <w:trHeight w:val="274"/>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64EF177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519" w:type="dxa"/>
            <w:tcBorders>
              <w:top w:val="single" w:sz="4" w:space="0" w:color="000000"/>
              <w:left w:val="single" w:sz="4" w:space="0" w:color="000000"/>
            </w:tcBorders>
            <w:shd w:val="clear" w:color="auto" w:fill="FFFFFF"/>
            <w:tcMar>
              <w:top w:w="0" w:type="dxa"/>
              <w:bottom w:w="0" w:type="dxa"/>
            </w:tcMar>
            <w:vAlign w:val="bottom"/>
          </w:tcPr>
          <w:p w14:paraId="4362FF6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Deferred corporate income tax</w:t>
            </w:r>
          </w:p>
        </w:tc>
        <w:tc>
          <w:tcPr>
            <w:tcW w:w="1911" w:type="dxa"/>
            <w:tcBorders>
              <w:top w:val="single" w:sz="4" w:space="0" w:color="000000"/>
              <w:left w:val="single" w:sz="4" w:space="0" w:color="000000"/>
            </w:tcBorders>
            <w:shd w:val="clear" w:color="auto" w:fill="FFFFFF"/>
            <w:tcMar>
              <w:top w:w="0" w:type="dxa"/>
              <w:bottom w:w="0" w:type="dxa"/>
            </w:tcMar>
            <w:vAlign w:val="bottom"/>
          </w:tcPr>
          <w:p w14:paraId="47ECD27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-14,263,313,551</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63539E22" w14:textId="77777777" w:rsidR="002E28BD" w:rsidRDefault="002E28BD">
            <w:pPr>
              <w:spacing w:after="120" w:line="360" w:lineRule="auto"/>
              <w:rPr>
                <w:rFonts w:ascii="Arial" w:eastAsia="Arial" w:hAnsi="Arial" w:cs="Arial"/>
                <w:sz w:val="20"/>
                <w:szCs w:val="20"/>
              </w:rPr>
            </w:pPr>
          </w:p>
        </w:tc>
      </w:tr>
      <w:tr w:rsidR="002E28BD" w14:paraId="33378F59" w14:textId="77777777">
        <w:trPr>
          <w:trHeight w:val="269"/>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3A3BA323"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519" w:type="dxa"/>
            <w:tcBorders>
              <w:top w:val="single" w:sz="4" w:space="0" w:color="000000"/>
              <w:left w:val="single" w:sz="4" w:space="0" w:color="000000"/>
            </w:tcBorders>
            <w:shd w:val="clear" w:color="auto" w:fill="FFFFFF"/>
            <w:tcMar>
              <w:top w:w="0" w:type="dxa"/>
              <w:bottom w:w="0" w:type="dxa"/>
            </w:tcMar>
            <w:vAlign w:val="bottom"/>
          </w:tcPr>
          <w:p w14:paraId="1CEE57A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(1-2-3)</w:t>
            </w:r>
          </w:p>
        </w:tc>
        <w:tc>
          <w:tcPr>
            <w:tcW w:w="1911" w:type="dxa"/>
            <w:tcBorders>
              <w:top w:val="single" w:sz="4" w:space="0" w:color="000000"/>
              <w:left w:val="single" w:sz="4" w:space="0" w:color="000000"/>
            </w:tcBorders>
            <w:shd w:val="clear" w:color="auto" w:fill="FFFFFF"/>
            <w:tcMar>
              <w:top w:w="0" w:type="dxa"/>
              <w:bottom w:w="0" w:type="dxa"/>
            </w:tcMar>
            <w:vAlign w:val="bottom"/>
          </w:tcPr>
          <w:p w14:paraId="7EA53E49"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71,355,230,626</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2453858F" w14:textId="77777777" w:rsidR="002E28BD" w:rsidRDefault="002E28BD">
            <w:pPr>
              <w:spacing w:after="120" w:line="360" w:lineRule="auto"/>
              <w:rPr>
                <w:rFonts w:ascii="Arial" w:eastAsia="Arial" w:hAnsi="Arial" w:cs="Arial"/>
                <w:sz w:val="20"/>
                <w:szCs w:val="20"/>
              </w:rPr>
            </w:pPr>
          </w:p>
        </w:tc>
      </w:tr>
      <w:tr w:rsidR="002E28BD" w14:paraId="0B463BB2" w14:textId="77777777">
        <w:trPr>
          <w:trHeight w:val="274"/>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75831F59"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4519" w:type="dxa"/>
            <w:tcBorders>
              <w:top w:val="single" w:sz="4" w:space="0" w:color="000000"/>
              <w:left w:val="single" w:sz="4" w:space="0" w:color="000000"/>
            </w:tcBorders>
            <w:shd w:val="clear" w:color="auto" w:fill="FFFFFF"/>
            <w:tcMar>
              <w:top w:w="0" w:type="dxa"/>
              <w:bottom w:w="0" w:type="dxa"/>
            </w:tcMar>
            <w:vAlign w:val="bottom"/>
          </w:tcPr>
          <w:p w14:paraId="42568741"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profit of previous year:</w:t>
            </w:r>
          </w:p>
        </w:tc>
        <w:tc>
          <w:tcPr>
            <w:tcW w:w="1911" w:type="dxa"/>
            <w:tcBorders>
              <w:top w:val="single" w:sz="4" w:space="0" w:color="000000"/>
              <w:left w:val="single" w:sz="4" w:space="0" w:color="000000"/>
            </w:tcBorders>
            <w:shd w:val="clear" w:color="auto" w:fill="FFFFFF"/>
            <w:tcMar>
              <w:top w:w="0" w:type="dxa"/>
              <w:bottom w:w="0" w:type="dxa"/>
            </w:tcMar>
            <w:vAlign w:val="bottom"/>
          </w:tcPr>
          <w:p w14:paraId="0C8F8E13"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47,123,030,661</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7A4A30FC" w14:textId="77777777" w:rsidR="002E28BD" w:rsidRDefault="002E28BD">
            <w:pPr>
              <w:spacing w:after="120" w:line="360" w:lineRule="auto"/>
              <w:rPr>
                <w:rFonts w:ascii="Arial" w:eastAsia="Arial" w:hAnsi="Arial" w:cs="Arial"/>
                <w:sz w:val="20"/>
                <w:szCs w:val="20"/>
              </w:rPr>
            </w:pPr>
          </w:p>
        </w:tc>
      </w:tr>
      <w:tr w:rsidR="002E28BD" w14:paraId="48D36935" w14:textId="77777777">
        <w:trPr>
          <w:trHeight w:val="1206"/>
          <w:jc w:val="center"/>
        </w:trPr>
        <w:tc>
          <w:tcPr>
            <w:tcW w:w="602" w:type="dxa"/>
            <w:tcBorders>
              <w:top w:val="single" w:sz="4" w:space="0" w:color="000000"/>
              <w:left w:val="single" w:sz="4" w:space="0" w:color="000000"/>
            </w:tcBorders>
            <w:shd w:val="clear" w:color="auto" w:fill="FFFFFF"/>
            <w:tcMar>
              <w:top w:w="0" w:type="dxa"/>
              <w:bottom w:w="0" w:type="dxa"/>
            </w:tcMar>
            <w:vAlign w:val="center"/>
          </w:tcPr>
          <w:p w14:paraId="206CD0CA"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519" w:type="dxa"/>
            <w:tcBorders>
              <w:top w:val="single" w:sz="4" w:space="0" w:color="000000"/>
              <w:left w:val="single" w:sz="4" w:space="0" w:color="000000"/>
            </w:tcBorders>
            <w:shd w:val="clear" w:color="auto" w:fill="FFFFFF"/>
            <w:tcMar>
              <w:top w:w="0" w:type="dxa"/>
              <w:bottom w:w="0" w:type="dxa"/>
            </w:tcMar>
            <w:vAlign w:val="center"/>
          </w:tcPr>
          <w:p w14:paraId="0992A6E9"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earnings for next year</w:t>
            </w:r>
          </w:p>
        </w:tc>
        <w:tc>
          <w:tcPr>
            <w:tcW w:w="1911" w:type="dxa"/>
            <w:tcBorders>
              <w:top w:val="single" w:sz="4" w:space="0" w:color="000000"/>
              <w:left w:val="single" w:sz="4" w:space="0" w:color="000000"/>
            </w:tcBorders>
            <w:shd w:val="clear" w:color="auto" w:fill="FFFFFF"/>
            <w:tcMar>
              <w:top w:w="0" w:type="dxa"/>
              <w:bottom w:w="0" w:type="dxa"/>
            </w:tcMar>
            <w:vAlign w:val="center"/>
          </w:tcPr>
          <w:p w14:paraId="5A19DDBC"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61,386,344,212</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2D5C4BC4" w14:textId="41B36B17" w:rsidR="002E28BD" w:rsidRDefault="00111BD5" w:rsidP="00DF3EF7">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Deferred income tax as of December 31, 2023</w:t>
            </w:r>
          </w:p>
        </w:tc>
      </w:tr>
      <w:tr w:rsidR="002E28BD" w14:paraId="66F2D59A" w14:textId="77777777">
        <w:trPr>
          <w:trHeight w:val="398"/>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7177E94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4519" w:type="dxa"/>
            <w:tcBorders>
              <w:top w:val="single" w:sz="4" w:space="0" w:color="000000"/>
              <w:left w:val="single" w:sz="4" w:space="0" w:color="000000"/>
            </w:tcBorders>
            <w:shd w:val="clear" w:color="auto" w:fill="FFFFFF"/>
            <w:tcMar>
              <w:top w:w="0" w:type="dxa"/>
              <w:bottom w:w="0" w:type="dxa"/>
            </w:tcMar>
            <w:vAlign w:val="bottom"/>
          </w:tcPr>
          <w:p w14:paraId="203D0629"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available for distribution (4+5-6)</w:t>
            </w:r>
          </w:p>
        </w:tc>
        <w:tc>
          <w:tcPr>
            <w:tcW w:w="1911" w:type="dxa"/>
            <w:tcBorders>
              <w:top w:val="single" w:sz="4" w:space="0" w:color="000000"/>
              <w:left w:val="single" w:sz="4" w:space="0" w:color="000000"/>
            </w:tcBorders>
            <w:shd w:val="clear" w:color="auto" w:fill="FFFFFF"/>
            <w:tcMar>
              <w:top w:w="0" w:type="dxa"/>
              <w:bottom w:w="0" w:type="dxa"/>
            </w:tcMar>
            <w:vAlign w:val="bottom"/>
          </w:tcPr>
          <w:p w14:paraId="602223BE"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57,091,917,075</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18C2097E" w14:textId="77777777" w:rsidR="002E28BD" w:rsidRDefault="002E28BD">
            <w:pPr>
              <w:spacing w:after="120" w:line="360" w:lineRule="auto"/>
              <w:rPr>
                <w:rFonts w:ascii="Arial" w:eastAsia="Arial" w:hAnsi="Arial" w:cs="Arial"/>
                <w:sz w:val="20"/>
                <w:szCs w:val="20"/>
              </w:rPr>
            </w:pPr>
          </w:p>
        </w:tc>
      </w:tr>
      <w:tr w:rsidR="002E28BD" w14:paraId="1F17CEEC" w14:textId="77777777">
        <w:trPr>
          <w:trHeight w:val="715"/>
          <w:jc w:val="center"/>
        </w:trPr>
        <w:tc>
          <w:tcPr>
            <w:tcW w:w="602" w:type="dxa"/>
            <w:tcBorders>
              <w:top w:val="single" w:sz="4" w:space="0" w:color="000000"/>
              <w:left w:val="single" w:sz="4" w:space="0" w:color="000000"/>
            </w:tcBorders>
            <w:shd w:val="clear" w:color="auto" w:fill="FFFFFF"/>
            <w:tcMar>
              <w:top w:w="0" w:type="dxa"/>
              <w:bottom w:w="0" w:type="dxa"/>
            </w:tcMar>
            <w:vAlign w:val="center"/>
          </w:tcPr>
          <w:p w14:paraId="0CF962F2"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4519" w:type="dxa"/>
            <w:tcBorders>
              <w:top w:val="single" w:sz="4" w:space="0" w:color="000000"/>
              <w:left w:val="single" w:sz="4" w:space="0" w:color="000000"/>
            </w:tcBorders>
            <w:shd w:val="clear" w:color="auto" w:fill="FFFFFF"/>
            <w:tcMar>
              <w:top w:w="0" w:type="dxa"/>
              <w:bottom w:w="0" w:type="dxa"/>
            </w:tcMar>
            <w:vAlign w:val="center"/>
          </w:tcPr>
          <w:p w14:paraId="565583E7"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for 2023: 10% charter capital</w:t>
            </w:r>
          </w:p>
        </w:tc>
        <w:tc>
          <w:tcPr>
            <w:tcW w:w="1911" w:type="dxa"/>
            <w:tcBorders>
              <w:top w:val="single" w:sz="4" w:space="0" w:color="000000"/>
              <w:left w:val="single" w:sz="4" w:space="0" w:color="000000"/>
            </w:tcBorders>
            <w:shd w:val="clear" w:color="auto" w:fill="FFFFFF"/>
            <w:tcMar>
              <w:top w:w="0" w:type="dxa"/>
              <w:bottom w:w="0" w:type="dxa"/>
            </w:tcMar>
            <w:vAlign w:val="center"/>
          </w:tcPr>
          <w:p w14:paraId="29B21248"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24,569,052,000</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2F741412"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General Mandate:</w:t>
            </w:r>
          </w:p>
          <w:p w14:paraId="1332CE0F" w14:textId="77777777" w:rsidR="002E28BD" w:rsidRPr="00DF3EF7" w:rsidRDefault="00111BD5">
            <w:pPr>
              <w:pBdr>
                <w:top w:val="nil"/>
                <w:left w:val="nil"/>
                <w:bottom w:val="nil"/>
                <w:right w:val="nil"/>
                <w:between w:val="nil"/>
              </w:pBdr>
              <w:spacing w:after="120" w:line="360" w:lineRule="auto"/>
              <w:jc w:val="center"/>
              <w:rPr>
                <w:rFonts w:ascii="Arial" w:eastAsia="Arial" w:hAnsi="Arial" w:cs="Arial"/>
                <w:sz w:val="20"/>
                <w:szCs w:val="20"/>
              </w:rPr>
            </w:pPr>
            <w:r w:rsidRPr="00DF3EF7">
              <w:rPr>
                <w:rFonts w:ascii="Arial" w:hAnsi="Arial" w:cs="Arial"/>
                <w:sz w:val="20"/>
                <w:szCs w:val="20"/>
              </w:rPr>
              <w:t>≥10%</w:t>
            </w:r>
          </w:p>
        </w:tc>
      </w:tr>
      <w:tr w:rsidR="002E28BD" w14:paraId="6A4056D2" w14:textId="77777777">
        <w:trPr>
          <w:trHeight w:val="346"/>
          <w:jc w:val="center"/>
        </w:trPr>
        <w:tc>
          <w:tcPr>
            <w:tcW w:w="602" w:type="dxa"/>
            <w:tcBorders>
              <w:top w:val="single" w:sz="4" w:space="0" w:color="000000"/>
              <w:left w:val="single" w:sz="4" w:space="0" w:color="000000"/>
            </w:tcBorders>
            <w:shd w:val="clear" w:color="auto" w:fill="FFFFFF"/>
            <w:tcMar>
              <w:top w:w="0" w:type="dxa"/>
              <w:bottom w:w="0" w:type="dxa"/>
            </w:tcMar>
            <w:vAlign w:val="bottom"/>
          </w:tcPr>
          <w:p w14:paraId="6F69F36C"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w:t>
            </w:r>
          </w:p>
        </w:tc>
        <w:tc>
          <w:tcPr>
            <w:tcW w:w="4519" w:type="dxa"/>
            <w:tcBorders>
              <w:top w:val="single" w:sz="4" w:space="0" w:color="000000"/>
              <w:left w:val="single" w:sz="4" w:space="0" w:color="000000"/>
            </w:tcBorders>
            <w:shd w:val="clear" w:color="auto" w:fill="FFFFFF"/>
            <w:tcMar>
              <w:top w:w="0" w:type="dxa"/>
              <w:bottom w:w="0" w:type="dxa"/>
            </w:tcMar>
            <w:vAlign w:val="bottom"/>
          </w:tcPr>
          <w:p w14:paraId="4EAC5F35"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Remaining profit after dividend payment</w:t>
            </w:r>
          </w:p>
        </w:tc>
        <w:tc>
          <w:tcPr>
            <w:tcW w:w="1911" w:type="dxa"/>
            <w:tcBorders>
              <w:top w:val="single" w:sz="4" w:space="0" w:color="000000"/>
              <w:left w:val="single" w:sz="4" w:space="0" w:color="000000"/>
            </w:tcBorders>
            <w:shd w:val="clear" w:color="auto" w:fill="FFFFFF"/>
            <w:tcMar>
              <w:top w:w="0" w:type="dxa"/>
              <w:bottom w:w="0" w:type="dxa"/>
            </w:tcMar>
            <w:vAlign w:val="bottom"/>
          </w:tcPr>
          <w:p w14:paraId="45CD608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32,522,865,075</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tcPr>
          <w:p w14:paraId="72FCE093" w14:textId="77777777" w:rsidR="002E28BD" w:rsidRDefault="002E28BD">
            <w:pPr>
              <w:spacing w:after="120" w:line="360" w:lineRule="auto"/>
              <w:rPr>
                <w:rFonts w:ascii="Arial" w:eastAsia="Arial" w:hAnsi="Arial" w:cs="Arial"/>
                <w:sz w:val="20"/>
                <w:szCs w:val="20"/>
              </w:rPr>
            </w:pPr>
          </w:p>
        </w:tc>
      </w:tr>
      <w:tr w:rsidR="002E28BD" w14:paraId="7A91FFD3" w14:textId="77777777">
        <w:trPr>
          <w:trHeight w:val="542"/>
          <w:jc w:val="center"/>
        </w:trPr>
        <w:tc>
          <w:tcPr>
            <w:tcW w:w="602" w:type="dxa"/>
            <w:tcBorders>
              <w:top w:val="single" w:sz="4" w:space="0" w:color="000000"/>
              <w:left w:val="single" w:sz="4" w:space="0" w:color="000000"/>
            </w:tcBorders>
            <w:shd w:val="clear" w:color="auto" w:fill="FFFFFF"/>
            <w:tcMar>
              <w:top w:w="0" w:type="dxa"/>
              <w:bottom w:w="0" w:type="dxa"/>
            </w:tcMar>
            <w:vAlign w:val="center"/>
          </w:tcPr>
          <w:p w14:paraId="414F9406"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519" w:type="dxa"/>
            <w:tcBorders>
              <w:top w:val="single" w:sz="4" w:space="0" w:color="000000"/>
              <w:left w:val="single" w:sz="4" w:space="0" w:color="000000"/>
            </w:tcBorders>
            <w:shd w:val="clear" w:color="auto" w:fill="FFFFFF"/>
            <w:tcMar>
              <w:top w:w="0" w:type="dxa"/>
              <w:bottom w:w="0" w:type="dxa"/>
            </w:tcMar>
            <w:vAlign w:val="center"/>
          </w:tcPr>
          <w:p w14:paraId="24EE8CF0"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fund for the Company's managers</w:t>
            </w:r>
          </w:p>
        </w:tc>
        <w:tc>
          <w:tcPr>
            <w:tcW w:w="1911" w:type="dxa"/>
            <w:tcBorders>
              <w:top w:val="single" w:sz="4" w:space="0" w:color="000000"/>
              <w:left w:val="single" w:sz="4" w:space="0" w:color="000000"/>
            </w:tcBorders>
            <w:shd w:val="clear" w:color="auto" w:fill="FFFFFF"/>
            <w:tcMar>
              <w:top w:w="0" w:type="dxa"/>
              <w:bottom w:w="0" w:type="dxa"/>
            </w:tcMar>
            <w:vAlign w:val="center"/>
          </w:tcPr>
          <w:p w14:paraId="6EA19619"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190,440,000</w:t>
            </w:r>
          </w:p>
        </w:tc>
        <w:tc>
          <w:tcPr>
            <w:tcW w:w="198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8081ECA"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 month of average salary)</w:t>
            </w:r>
          </w:p>
        </w:tc>
      </w:tr>
      <w:tr w:rsidR="002E28BD" w14:paraId="41F475EB" w14:textId="77777777">
        <w:trPr>
          <w:trHeight w:val="811"/>
          <w:jc w:val="center"/>
        </w:trPr>
        <w:tc>
          <w:tcPr>
            <w:tcW w:w="60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E1036B1"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w:t>
            </w:r>
          </w:p>
        </w:tc>
        <w:tc>
          <w:tcPr>
            <w:tcW w:w="45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F0EF3A6"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Bonus and welfare fund (1.25 months of average salary) </w:t>
            </w:r>
          </w:p>
        </w:tc>
        <w:tc>
          <w:tcPr>
            <w:tcW w:w="191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BA60EDB" w14:textId="77777777" w:rsidR="002E28BD" w:rsidRDefault="00111BD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32,332,425,075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C94C273" w14:textId="77777777" w:rsidR="002E28BD" w:rsidRDefault="00111BD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Average salary fund: VND 25.8 billion/month</w:t>
            </w:r>
          </w:p>
        </w:tc>
      </w:tr>
    </w:tbl>
    <w:p w14:paraId="5A5C7E6E" w14:textId="0F7DB679"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assigns the Board of Directors to complete the procedures and pay dividends to shareholders at the end of Q2/2024 in accordance with the provisions of the Law.</w:t>
      </w:r>
    </w:p>
    <w:p w14:paraId="296B156F" w14:textId="77777777"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Report of the Supervisory Board at the Annual General Meeting of Shareholders in 2024</w:t>
      </w:r>
    </w:p>
    <w:p w14:paraId="0C220424" w14:textId="77777777"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Approve the selection of the list of audit companies for the Company's Financial Statements 2024.</w:t>
      </w:r>
    </w:p>
    <w:p w14:paraId="10059121" w14:textId="77777777"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unanimously approves the selection of the list of independent audit companies to perform the audit of the Financial Statements 2024, including:</w:t>
      </w:r>
    </w:p>
    <w:p w14:paraId="409D4D5F" w14:textId="77777777" w:rsidR="002E28BD" w:rsidRDefault="00111BD5" w:rsidP="00DF3EF7">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AASC Auditing Firm Company Limited</w:t>
      </w:r>
    </w:p>
    <w:p w14:paraId="6DADF9B2" w14:textId="77777777" w:rsidR="002E28BD" w:rsidRDefault="00111BD5" w:rsidP="00DF3EF7">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lastRenderedPageBreak/>
        <w:t>An</w:t>
      </w:r>
      <w:proofErr w:type="gramEnd"/>
      <w:r>
        <w:rPr>
          <w:rFonts w:ascii="Arial" w:hAnsi="Arial"/>
          <w:sz w:val="20"/>
        </w:rPr>
        <w:t xml:space="preserve"> Viet Auditing Company Limited</w:t>
      </w:r>
    </w:p>
    <w:p w14:paraId="465106BE" w14:textId="77777777" w:rsidR="002E28BD" w:rsidRDefault="00111BD5" w:rsidP="00DF3EF7">
      <w:pPr>
        <w:numPr>
          <w:ilvl w:val="0"/>
          <w:numId w:val="5"/>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VACO Auditing Company Limited;</w:t>
      </w:r>
    </w:p>
    <w:p w14:paraId="2D7C8236" w14:textId="64CDEA97"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assigns the Company to select 01 independent audit company (among the 03 companies mentioned above) to audit the Financial Statements 2024 in accordance with current legal regulations.</w:t>
      </w:r>
    </w:p>
    <w:p w14:paraId="1C9C2DA2" w14:textId="77777777"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12. Terms of enforcement.</w:t>
      </w:r>
    </w:p>
    <w:p w14:paraId="2E8F556D" w14:textId="4F0128B8"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This General Mandate takes effect immediately after being voted and approved by the Annual General Meeting 2024 </w:t>
      </w:r>
      <w:r w:rsidR="00DF3EF7">
        <w:rPr>
          <w:rFonts w:ascii="Arial" w:hAnsi="Arial"/>
          <w:sz w:val="20"/>
        </w:rPr>
        <w:t>convened</w:t>
      </w:r>
      <w:r>
        <w:rPr>
          <w:rFonts w:ascii="Arial" w:hAnsi="Arial"/>
          <w:sz w:val="20"/>
        </w:rPr>
        <w:t xml:space="preserve"> on April 25, 2024.</w:t>
      </w:r>
    </w:p>
    <w:p w14:paraId="4BCD0B91" w14:textId="052CBA78"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Members of the Board of Directors, Supervisory Board, and Executive Board of Managers are responsible for directing the implementation of this General Mandate </w:t>
      </w:r>
      <w:r w:rsidR="00DF3EF7">
        <w:rPr>
          <w:rFonts w:ascii="Arial" w:hAnsi="Arial"/>
          <w:sz w:val="20"/>
        </w:rPr>
        <w:t>up to</w:t>
      </w:r>
      <w:r>
        <w:rPr>
          <w:rFonts w:ascii="Arial" w:hAnsi="Arial"/>
          <w:sz w:val="20"/>
        </w:rPr>
        <w:t xml:space="preserve"> their functions, duties, and powers in compliance with </w:t>
      </w:r>
      <w:r w:rsidR="00DF3EF7">
        <w:rPr>
          <w:rFonts w:ascii="Arial" w:hAnsi="Arial"/>
          <w:sz w:val="20"/>
        </w:rPr>
        <w:t>applicable laws</w:t>
      </w:r>
      <w:r>
        <w:rPr>
          <w:rFonts w:ascii="Arial" w:hAnsi="Arial"/>
          <w:sz w:val="20"/>
        </w:rPr>
        <w:t xml:space="preserve"> and the Company's Charter. </w:t>
      </w:r>
    </w:p>
    <w:p w14:paraId="144192C5" w14:textId="1FFA4B69" w:rsidR="002E28BD" w:rsidRDefault="00111BD5" w:rsidP="00DF3EF7">
      <w:pPr>
        <w:pBdr>
          <w:top w:val="nil"/>
          <w:left w:val="nil"/>
          <w:bottom w:val="nil"/>
          <w:right w:val="nil"/>
          <w:between w:val="nil"/>
        </w:pBdr>
        <w:spacing w:after="120" w:line="360" w:lineRule="auto"/>
        <w:jc w:val="both"/>
        <w:rPr>
          <w:rFonts w:ascii="Arial" w:eastAsia="Arial" w:hAnsi="Arial" w:cs="Arial"/>
          <w:sz w:val="20"/>
          <w:szCs w:val="20"/>
        </w:rPr>
        <w:sectPr w:rsidR="002E28BD">
          <w:pgSz w:w="11906" w:h="16838"/>
          <w:pgMar w:top="1440" w:right="1440" w:bottom="1440" w:left="1440" w:header="0" w:footer="3" w:gutter="0"/>
          <w:pgNumType w:start="1"/>
          <w:cols w:space="720"/>
        </w:sectPr>
      </w:pPr>
      <w:r>
        <w:rPr>
          <w:rFonts w:ascii="Arial" w:hAnsi="Arial"/>
          <w:sz w:val="20"/>
        </w:rPr>
        <w:t xml:space="preserve">The Board of Directors is responsible for reporting the results of the implementation of this General Mandate to the General Meeting </w:t>
      </w:r>
      <w:bookmarkStart w:id="0" w:name="_GoBack"/>
      <w:bookmarkEnd w:id="0"/>
      <w:r>
        <w:rPr>
          <w:rFonts w:ascii="Arial" w:hAnsi="Arial"/>
          <w:sz w:val="20"/>
        </w:rPr>
        <w:t>at the Annual Meeting in 2025./.</w:t>
      </w:r>
    </w:p>
    <w:p w14:paraId="32A841EB" w14:textId="77777777" w:rsidR="002E28BD" w:rsidRDefault="002E28BD" w:rsidP="00DF3EF7">
      <w:pPr>
        <w:pBdr>
          <w:top w:val="nil"/>
          <w:left w:val="nil"/>
          <w:bottom w:val="nil"/>
          <w:right w:val="nil"/>
          <w:between w:val="nil"/>
        </w:pBdr>
        <w:spacing w:after="120" w:line="360" w:lineRule="auto"/>
        <w:jc w:val="both"/>
        <w:rPr>
          <w:rFonts w:ascii="Arial" w:eastAsia="Arial" w:hAnsi="Arial" w:cs="Arial"/>
          <w:sz w:val="20"/>
          <w:szCs w:val="20"/>
        </w:rPr>
      </w:pPr>
    </w:p>
    <w:sectPr w:rsidR="002E28BD">
      <w:type w:val="continuous"/>
      <w:pgSz w:w="11906" w:h="16838"/>
      <w:pgMar w:top="1440" w:right="1440" w:bottom="1440" w:left="1440" w:header="0" w:footer="3" w:gutter="0"/>
      <w:cols w:num="2" w:space="720" w:equalWidth="0">
        <w:col w:w="4064" w:space="897"/>
        <w:col w:w="406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6615"/>
    <w:multiLevelType w:val="multilevel"/>
    <w:tmpl w:val="0AE65BF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79C7353"/>
    <w:multiLevelType w:val="multilevel"/>
    <w:tmpl w:val="2084ED2C"/>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9901DB"/>
    <w:multiLevelType w:val="multilevel"/>
    <w:tmpl w:val="B590C8A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5C395F"/>
    <w:multiLevelType w:val="multilevel"/>
    <w:tmpl w:val="77DEFDC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B11878"/>
    <w:multiLevelType w:val="multilevel"/>
    <w:tmpl w:val="E8D6F6A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D"/>
    <w:rsid w:val="00111BD5"/>
    <w:rsid w:val="002E28BD"/>
    <w:rsid w:val="00B431FC"/>
    <w:rsid w:val="00DF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1B27"/>
  <w15:docId w15:val="{73A2EB1E-C0F7-44AE-9E02-B4EF5D69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40" w:line="257"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Other0">
    <w:name w:val="Other"/>
    <w:basedOn w:val="Normal"/>
    <w:link w:val="Other"/>
    <w:pPr>
      <w:spacing w:after="40" w:line="257"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59" w:lineRule="auto"/>
      <w:ind w:firstLine="32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WQAoCHec25xOS1lcUkS/niZ6Q==">CgMxLjAaJAoBMBIfCh0IB0IZCgVBcmlhbBIQQXJpYWwgVW5pY29kZSBNUxokCgExEh8KHQgHQhkKBUFyaWFsEhBBcmlhbCBVbmljb2RlIE1TOAByITFxWTAyZ1F2a2tNV04zOGU5WllHb25SYzEwT2VacEJNeA==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2024-05-06T04:05:00Z</dcterms:created>
  <dcterms:modified xsi:type="dcterms:W3CDTF">2024-05-06T04:05:00Z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3fcb1a49de52abe07ee3c09d8b83605781470eb6c194ea62d4f76e1029efbb02</vt:lpwstr>
  </property>
</Properties>
</file>