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79" w:rsidRDefault="006D5C69" w:rsidP="00E63FCC">
      <w:pPr>
        <w:keepNext/>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TKU: Annual General Mandate 2024</w:t>
      </w:r>
    </w:p>
    <w:p w:rsidR="000F5379" w:rsidRDefault="006D5C69" w:rsidP="00E63FCC">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26, 2024, Tung </w:t>
      </w:r>
      <w:proofErr w:type="spellStart"/>
      <w:r>
        <w:rPr>
          <w:rFonts w:ascii="Arial" w:hAnsi="Arial"/>
          <w:color w:val="010000"/>
          <w:sz w:val="20"/>
        </w:rPr>
        <w:t>Kuang</w:t>
      </w:r>
      <w:proofErr w:type="spellEnd"/>
      <w:r>
        <w:rPr>
          <w:rFonts w:ascii="Arial" w:hAnsi="Arial"/>
          <w:color w:val="010000"/>
          <w:sz w:val="20"/>
        </w:rPr>
        <w:t xml:space="preserve"> Industrial JSC announced General Mandate No. 01/2Q24/NQDHDCD as follows:</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Report on production and business activities of the Board of Directors and the plan in 2024.</w:t>
      </w:r>
    </w:p>
    <w:p w:rsidR="000F5379" w:rsidRDefault="006D5C69">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Annual Activity Report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028"/>
        <w:gridCol w:w="1093"/>
        <w:gridCol w:w="1490"/>
        <w:gridCol w:w="1484"/>
        <w:gridCol w:w="1225"/>
      </w:tblGrid>
      <w:tr w:rsidR="000F5379">
        <w:tc>
          <w:tcPr>
            <w:tcW w:w="697"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028"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1093"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1490"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w:t>
            </w:r>
          </w:p>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2022 </w:t>
            </w:r>
          </w:p>
        </w:tc>
        <w:tc>
          <w:tcPr>
            <w:tcW w:w="1484"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tc>
        <w:tc>
          <w:tcPr>
            <w:tcW w:w="1225"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Comparison (%)</w:t>
            </w:r>
          </w:p>
        </w:tc>
      </w:tr>
      <w:tr w:rsidR="000F5379">
        <w:tc>
          <w:tcPr>
            <w:tcW w:w="697"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028"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volume</w:t>
            </w:r>
          </w:p>
        </w:tc>
        <w:tc>
          <w:tcPr>
            <w:tcW w:w="1093"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Tons</w:t>
            </w:r>
          </w:p>
        </w:tc>
        <w:tc>
          <w:tcPr>
            <w:tcW w:w="1490"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8,530</w:t>
            </w:r>
          </w:p>
        </w:tc>
        <w:tc>
          <w:tcPr>
            <w:tcW w:w="1484"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6,214</w:t>
            </w:r>
          </w:p>
        </w:tc>
        <w:tc>
          <w:tcPr>
            <w:tcW w:w="1225"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-27.15%</w:t>
            </w:r>
          </w:p>
        </w:tc>
      </w:tr>
      <w:tr w:rsidR="000F5379">
        <w:tc>
          <w:tcPr>
            <w:tcW w:w="697"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028"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Sale volume</w:t>
            </w:r>
          </w:p>
        </w:tc>
        <w:tc>
          <w:tcPr>
            <w:tcW w:w="1093"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Tons</w:t>
            </w:r>
          </w:p>
        </w:tc>
        <w:tc>
          <w:tcPr>
            <w:tcW w:w="1490"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10,200</w:t>
            </w:r>
          </w:p>
        </w:tc>
        <w:tc>
          <w:tcPr>
            <w:tcW w:w="1484"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6,027</w:t>
            </w:r>
          </w:p>
        </w:tc>
        <w:tc>
          <w:tcPr>
            <w:tcW w:w="1225"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-40.91%</w:t>
            </w:r>
          </w:p>
        </w:tc>
      </w:tr>
      <w:tr w:rsidR="000F5379">
        <w:tc>
          <w:tcPr>
            <w:tcW w:w="697"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028"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Export volume</w:t>
            </w:r>
          </w:p>
        </w:tc>
        <w:tc>
          <w:tcPr>
            <w:tcW w:w="1093"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Tons</w:t>
            </w:r>
          </w:p>
        </w:tc>
        <w:tc>
          <w:tcPr>
            <w:tcW w:w="1490"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8,205</w:t>
            </w:r>
          </w:p>
        </w:tc>
        <w:tc>
          <w:tcPr>
            <w:tcW w:w="1484"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4,343</w:t>
            </w:r>
          </w:p>
        </w:tc>
        <w:tc>
          <w:tcPr>
            <w:tcW w:w="1225"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-47.07%</w:t>
            </w:r>
          </w:p>
        </w:tc>
      </w:tr>
      <w:tr w:rsidR="000F5379">
        <w:tc>
          <w:tcPr>
            <w:tcW w:w="697"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028"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Export value </w:t>
            </w:r>
          </w:p>
        </w:tc>
        <w:tc>
          <w:tcPr>
            <w:tcW w:w="1093"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USD</w:t>
            </w:r>
          </w:p>
        </w:tc>
        <w:tc>
          <w:tcPr>
            <w:tcW w:w="1490"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40,434,795</w:t>
            </w:r>
          </w:p>
        </w:tc>
        <w:tc>
          <w:tcPr>
            <w:tcW w:w="1484"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20,851,111</w:t>
            </w:r>
          </w:p>
        </w:tc>
        <w:tc>
          <w:tcPr>
            <w:tcW w:w="1225"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-48.43%</w:t>
            </w:r>
          </w:p>
        </w:tc>
      </w:tr>
      <w:tr w:rsidR="000F5379">
        <w:tc>
          <w:tcPr>
            <w:tcW w:w="697"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028"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1093"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90"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1,209</w:t>
            </w:r>
          </w:p>
        </w:tc>
        <w:tc>
          <w:tcPr>
            <w:tcW w:w="1484"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786</w:t>
            </w:r>
          </w:p>
        </w:tc>
        <w:tc>
          <w:tcPr>
            <w:tcW w:w="1225"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-34.99%</w:t>
            </w:r>
          </w:p>
        </w:tc>
      </w:tr>
      <w:tr w:rsidR="000F5379">
        <w:tc>
          <w:tcPr>
            <w:tcW w:w="697"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028"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093"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90"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w:t>
            </w:r>
          </w:p>
        </w:tc>
        <w:tc>
          <w:tcPr>
            <w:tcW w:w="1484"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w:t>
            </w:r>
          </w:p>
        </w:tc>
        <w:tc>
          <w:tcPr>
            <w:tcW w:w="1225" w:type="dxa"/>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-155.22%</w:t>
            </w:r>
          </w:p>
        </w:tc>
      </w:tr>
    </w:tbl>
    <w:p w:rsidR="000F5379" w:rsidRDefault="006D5C69">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plan for 2024</w:t>
      </w:r>
    </w:p>
    <w:tbl>
      <w:tblPr>
        <w:tblStyle w:val="a0"/>
        <w:tblW w:w="9017" w:type="dxa"/>
        <w:tblLayout w:type="fixed"/>
        <w:tblLook w:val="0000" w:firstRow="0" w:lastRow="0" w:firstColumn="0" w:lastColumn="0" w:noHBand="0" w:noVBand="0"/>
      </w:tblPr>
      <w:tblGrid>
        <w:gridCol w:w="675"/>
        <w:gridCol w:w="2977"/>
        <w:gridCol w:w="1154"/>
        <w:gridCol w:w="2162"/>
        <w:gridCol w:w="2049"/>
      </w:tblGrid>
      <w:tr w:rsidR="000F5379">
        <w:tc>
          <w:tcPr>
            <w:tcW w:w="675"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977"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1154"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2162"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2023</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Plan 2024 </w:t>
            </w:r>
          </w:p>
        </w:tc>
      </w:tr>
      <w:tr w:rsidR="000F5379">
        <w:tc>
          <w:tcPr>
            <w:tcW w:w="675"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977"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volume</w:t>
            </w:r>
          </w:p>
        </w:tc>
        <w:tc>
          <w:tcPr>
            <w:tcW w:w="1154"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Tons</w:t>
            </w:r>
          </w:p>
        </w:tc>
        <w:tc>
          <w:tcPr>
            <w:tcW w:w="2162"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8,160</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6,525</w:t>
            </w:r>
          </w:p>
        </w:tc>
      </w:tr>
      <w:tr w:rsidR="000F5379">
        <w:tc>
          <w:tcPr>
            <w:tcW w:w="675"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977"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Sale volume</w:t>
            </w:r>
          </w:p>
        </w:tc>
        <w:tc>
          <w:tcPr>
            <w:tcW w:w="1154"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Tons</w:t>
            </w:r>
          </w:p>
        </w:tc>
        <w:tc>
          <w:tcPr>
            <w:tcW w:w="2162"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7,950</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6,328</w:t>
            </w:r>
          </w:p>
        </w:tc>
      </w:tr>
      <w:tr w:rsidR="000F5379">
        <w:tc>
          <w:tcPr>
            <w:tcW w:w="675"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977"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Export volume</w:t>
            </w:r>
          </w:p>
        </w:tc>
        <w:tc>
          <w:tcPr>
            <w:tcW w:w="1154"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Tons</w:t>
            </w:r>
          </w:p>
        </w:tc>
        <w:tc>
          <w:tcPr>
            <w:tcW w:w="2162"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6,700</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4,560</w:t>
            </w:r>
          </w:p>
        </w:tc>
      </w:tr>
      <w:tr w:rsidR="000F5379">
        <w:tc>
          <w:tcPr>
            <w:tcW w:w="675"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977"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Export value </w:t>
            </w:r>
          </w:p>
        </w:tc>
        <w:tc>
          <w:tcPr>
            <w:tcW w:w="1154"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USD</w:t>
            </w:r>
          </w:p>
        </w:tc>
        <w:tc>
          <w:tcPr>
            <w:tcW w:w="2162"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30,175,000</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21,893,666</w:t>
            </w:r>
          </w:p>
        </w:tc>
      </w:tr>
      <w:tr w:rsidR="000F5379">
        <w:tc>
          <w:tcPr>
            <w:tcW w:w="675"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977"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1154"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2162"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850</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825</w:t>
            </w:r>
          </w:p>
        </w:tc>
      </w:tr>
      <w:tr w:rsidR="000F5379">
        <w:tc>
          <w:tcPr>
            <w:tcW w:w="675"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977"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154"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2162" w:type="dxa"/>
            <w:tcBorders>
              <w:top w:val="single" w:sz="4" w:space="0" w:color="000000"/>
              <w:left w:val="single" w:sz="4" w:space="0" w:color="000000"/>
            </w:tcBorders>
            <w:shd w:val="clear" w:color="auto" w:fill="auto"/>
            <w:tcMar>
              <w:top w:w="0" w:type="dxa"/>
              <w:bottom w:w="0" w:type="dxa"/>
            </w:tcMar>
            <w:vAlign w:val="center"/>
          </w:tcPr>
          <w:p w:rsidR="000F5379" w:rsidRDefault="006D5C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0F5379" w:rsidRDefault="00E63FCC">
            <w:pPr>
              <w:spacing w:after="120" w:line="360" w:lineRule="auto"/>
              <w:rPr>
                <w:rFonts w:ascii="Arial" w:eastAsia="Arial" w:hAnsi="Arial" w:cs="Arial"/>
                <w:color w:val="010000"/>
                <w:sz w:val="20"/>
                <w:szCs w:val="20"/>
              </w:rPr>
            </w:pPr>
            <w:r>
              <w:rPr>
                <w:rFonts w:ascii="Arial" w:eastAsia="Arial" w:hAnsi="Arial" w:cs="Arial"/>
                <w:color w:val="010000"/>
                <w:sz w:val="20"/>
                <w:szCs w:val="20"/>
              </w:rPr>
              <w:t>50</w:t>
            </w:r>
          </w:p>
        </w:tc>
      </w:tr>
      <w:tr w:rsidR="000F5379">
        <w:tc>
          <w:tcPr>
            <w:tcW w:w="675" w:type="dxa"/>
            <w:tcBorders>
              <w:left w:val="single" w:sz="4" w:space="0" w:color="000000"/>
              <w:bottom w:val="single" w:sz="4" w:space="0" w:color="000000"/>
            </w:tcBorders>
            <w:shd w:val="clear" w:color="auto" w:fill="auto"/>
            <w:tcMar>
              <w:top w:w="0" w:type="dxa"/>
              <w:bottom w:w="0" w:type="dxa"/>
            </w:tcMar>
            <w:vAlign w:val="center"/>
          </w:tcPr>
          <w:p w:rsidR="000F5379" w:rsidRDefault="000F5379">
            <w:pPr>
              <w:spacing w:after="120" w:line="360" w:lineRule="auto"/>
              <w:rPr>
                <w:rFonts w:ascii="Arial" w:eastAsia="Arial" w:hAnsi="Arial" w:cs="Arial"/>
                <w:color w:val="010000"/>
                <w:sz w:val="20"/>
                <w:szCs w:val="20"/>
              </w:rPr>
            </w:pPr>
          </w:p>
        </w:tc>
        <w:tc>
          <w:tcPr>
            <w:tcW w:w="2977" w:type="dxa"/>
            <w:tcBorders>
              <w:left w:val="single" w:sz="4" w:space="0" w:color="000000"/>
              <w:bottom w:val="single" w:sz="4" w:space="0" w:color="000000"/>
            </w:tcBorders>
            <w:shd w:val="clear" w:color="auto" w:fill="auto"/>
            <w:tcMar>
              <w:top w:w="0" w:type="dxa"/>
              <w:bottom w:w="0" w:type="dxa"/>
            </w:tcMar>
            <w:vAlign w:val="center"/>
          </w:tcPr>
          <w:p w:rsidR="000F5379" w:rsidRDefault="000F5379">
            <w:pPr>
              <w:spacing w:after="120" w:line="360" w:lineRule="auto"/>
              <w:rPr>
                <w:rFonts w:ascii="Arial" w:eastAsia="Arial" w:hAnsi="Arial" w:cs="Arial"/>
                <w:color w:val="010000"/>
                <w:sz w:val="20"/>
                <w:szCs w:val="20"/>
              </w:rPr>
            </w:pPr>
          </w:p>
        </w:tc>
        <w:tc>
          <w:tcPr>
            <w:tcW w:w="1154" w:type="dxa"/>
            <w:tcBorders>
              <w:left w:val="single" w:sz="4" w:space="0" w:color="000000"/>
              <w:bottom w:val="single" w:sz="4" w:space="0" w:color="000000"/>
            </w:tcBorders>
            <w:shd w:val="clear" w:color="auto" w:fill="auto"/>
            <w:tcMar>
              <w:top w:w="0" w:type="dxa"/>
              <w:bottom w:w="0" w:type="dxa"/>
            </w:tcMar>
            <w:vAlign w:val="center"/>
          </w:tcPr>
          <w:p w:rsidR="000F5379" w:rsidRDefault="000F5379">
            <w:pPr>
              <w:spacing w:after="120" w:line="360" w:lineRule="auto"/>
              <w:rPr>
                <w:rFonts w:ascii="Arial" w:eastAsia="Arial" w:hAnsi="Arial" w:cs="Arial"/>
                <w:color w:val="010000"/>
                <w:sz w:val="20"/>
                <w:szCs w:val="20"/>
              </w:rPr>
            </w:pPr>
          </w:p>
        </w:tc>
        <w:tc>
          <w:tcPr>
            <w:tcW w:w="2162" w:type="dxa"/>
            <w:tcBorders>
              <w:left w:val="single" w:sz="4" w:space="0" w:color="000000"/>
              <w:bottom w:val="single" w:sz="4" w:space="0" w:color="000000"/>
            </w:tcBorders>
            <w:shd w:val="clear" w:color="auto" w:fill="auto"/>
            <w:tcMar>
              <w:top w:w="0" w:type="dxa"/>
              <w:bottom w:w="0" w:type="dxa"/>
            </w:tcMar>
            <w:vAlign w:val="center"/>
          </w:tcPr>
          <w:p w:rsidR="000F5379" w:rsidRDefault="000F5379">
            <w:pPr>
              <w:spacing w:after="120" w:line="360" w:lineRule="auto"/>
              <w:rPr>
                <w:rFonts w:ascii="Arial" w:eastAsia="Arial" w:hAnsi="Arial" w:cs="Arial"/>
                <w:color w:val="010000"/>
                <w:sz w:val="20"/>
                <w:szCs w:val="20"/>
              </w:rPr>
            </w:pPr>
          </w:p>
        </w:tc>
        <w:tc>
          <w:tcPr>
            <w:tcW w:w="2049"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rsidR="000F5379" w:rsidRDefault="000F5379">
            <w:pPr>
              <w:spacing w:after="120" w:line="360" w:lineRule="auto"/>
              <w:rPr>
                <w:rFonts w:ascii="Arial" w:eastAsia="Arial" w:hAnsi="Arial" w:cs="Arial"/>
                <w:color w:val="010000"/>
                <w:sz w:val="20"/>
                <w:szCs w:val="20"/>
              </w:rPr>
            </w:pPr>
          </w:p>
        </w:tc>
      </w:tr>
    </w:tbl>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Approve the report of the Supervisory Board a</w:t>
      </w:r>
      <w:r w:rsidR="00E63FCC">
        <w:rPr>
          <w:rFonts w:ascii="Arial" w:hAnsi="Arial"/>
          <w:color w:val="010000"/>
          <w:sz w:val="20"/>
        </w:rPr>
        <w:t xml:space="preserve">nd the Financial Statements </w:t>
      </w:r>
      <w:r>
        <w:rPr>
          <w:rFonts w:ascii="Arial" w:hAnsi="Arial"/>
          <w:color w:val="010000"/>
          <w:sz w:val="20"/>
        </w:rPr>
        <w:t>2023.</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report of the Supervisory Board and the audited Financial Statements for 2023 by Southern Vietnam Auditing and Accounting Financial Consulting Services Company Limited (AASCN).</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Approve the Financial S</w:t>
      </w:r>
      <w:r>
        <w:rPr>
          <w:rFonts w:ascii="Arial" w:hAnsi="Arial"/>
          <w:color w:val="010000"/>
          <w:sz w:val="20"/>
        </w:rPr>
        <w:t>tatements, profit distribution plan and fund allocation for 2023.</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proposal that since the profit after tax in 2023 suffered a loss, no funds will be allocated and no dividends will be paid for 2023.</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A</w:t>
      </w:r>
      <w:r>
        <w:rPr>
          <w:rFonts w:ascii="Arial" w:hAnsi="Arial"/>
          <w:color w:val="010000"/>
          <w:sz w:val="20"/>
        </w:rPr>
        <w:t xml:space="preserve">pprove the proposal on additional listing of all shares of </w:t>
      </w:r>
      <w:r w:rsidR="00E63FCC">
        <w:rPr>
          <w:rFonts w:ascii="Arial" w:hAnsi="Arial"/>
          <w:color w:val="010000"/>
          <w:sz w:val="20"/>
        </w:rPr>
        <w:t>principal</w:t>
      </w:r>
      <w:r>
        <w:rPr>
          <w:rFonts w:ascii="Arial" w:hAnsi="Arial"/>
          <w:color w:val="010000"/>
          <w:sz w:val="20"/>
        </w:rPr>
        <w:t xml:space="preserve"> shareholders and moving </w:t>
      </w:r>
      <w:r>
        <w:rPr>
          <w:rFonts w:ascii="Arial" w:hAnsi="Arial"/>
          <w:color w:val="010000"/>
          <w:sz w:val="20"/>
        </w:rPr>
        <w:lastRenderedPageBreak/>
        <w:t>the listing from the Hanoi Stock Exchange (HNX) to the Ho Chi Minh City Stock Exchange (HOSE).</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approves:</w:t>
      </w:r>
    </w:p>
    <w:p w:rsidR="000F5379" w:rsidRDefault="006D5C69" w:rsidP="00E63FCC">
      <w:pPr>
        <w:numPr>
          <w:ilvl w:val="0"/>
          <w:numId w:val="1"/>
        </w:numPr>
        <w:pBdr>
          <w:top w:val="nil"/>
          <w:left w:val="nil"/>
          <w:bottom w:val="nil"/>
          <w:right w:val="nil"/>
          <w:between w:val="nil"/>
        </w:pBdr>
        <w:tabs>
          <w:tab w:val="left" w:pos="767"/>
        </w:tabs>
        <w:spacing w:after="120" w:line="360" w:lineRule="auto"/>
        <w:jc w:val="both"/>
        <w:rPr>
          <w:rFonts w:ascii="Arial" w:eastAsia="Arial" w:hAnsi="Arial" w:cs="Arial"/>
          <w:color w:val="010000"/>
          <w:sz w:val="20"/>
          <w:szCs w:val="20"/>
        </w:rPr>
      </w:pPr>
      <w:r>
        <w:rPr>
          <w:rFonts w:ascii="Arial" w:hAnsi="Arial"/>
          <w:color w:val="010000"/>
          <w:sz w:val="20"/>
        </w:rPr>
        <w:t xml:space="preserve">Agree on list all shares of </w:t>
      </w:r>
      <w:r w:rsidR="00E63FCC">
        <w:rPr>
          <w:rFonts w:ascii="Arial" w:hAnsi="Arial"/>
          <w:color w:val="010000"/>
          <w:sz w:val="20"/>
        </w:rPr>
        <w:t>principal</w:t>
      </w:r>
      <w:r>
        <w:rPr>
          <w:rFonts w:ascii="Arial" w:hAnsi="Arial"/>
          <w:color w:val="010000"/>
          <w:sz w:val="20"/>
        </w:rPr>
        <w:t xml:space="preserve"> foreign shareholders on the Hanoi Stock Exchange (HNX).</w:t>
      </w:r>
    </w:p>
    <w:p w:rsidR="000F5379" w:rsidRDefault="006D5C69" w:rsidP="00E63FCC">
      <w:pPr>
        <w:numPr>
          <w:ilvl w:val="0"/>
          <w:numId w:val="1"/>
        </w:numPr>
        <w:pBdr>
          <w:top w:val="nil"/>
          <w:left w:val="nil"/>
          <w:bottom w:val="nil"/>
          <w:right w:val="nil"/>
          <w:between w:val="nil"/>
        </w:pBdr>
        <w:tabs>
          <w:tab w:val="left" w:pos="788"/>
        </w:tabs>
        <w:spacing w:after="120" w:line="360" w:lineRule="auto"/>
        <w:jc w:val="both"/>
        <w:rPr>
          <w:rFonts w:ascii="Arial" w:eastAsia="Arial" w:hAnsi="Arial" w:cs="Arial"/>
          <w:color w:val="010000"/>
          <w:sz w:val="20"/>
          <w:szCs w:val="20"/>
        </w:rPr>
      </w:pPr>
      <w:r>
        <w:rPr>
          <w:rFonts w:ascii="Arial" w:hAnsi="Arial"/>
          <w:color w:val="010000"/>
          <w:sz w:val="20"/>
        </w:rPr>
        <w:t>Implement the listing transfer from the Hanoi Stock Exchange (HNX) to the Ho Chi Minh City Stock Exchange (HOSE).</w:t>
      </w:r>
    </w:p>
    <w:p w:rsidR="000F5379" w:rsidRDefault="006D5C69" w:rsidP="00E63FCC">
      <w:pPr>
        <w:numPr>
          <w:ilvl w:val="0"/>
          <w:numId w:val="1"/>
        </w:numPr>
        <w:pBdr>
          <w:top w:val="nil"/>
          <w:left w:val="nil"/>
          <w:bottom w:val="nil"/>
          <w:right w:val="nil"/>
          <w:between w:val="nil"/>
        </w:pBdr>
        <w:tabs>
          <w:tab w:val="left" w:pos="788"/>
        </w:tabs>
        <w:spacing w:after="120" w:line="360" w:lineRule="auto"/>
        <w:jc w:val="both"/>
        <w:rPr>
          <w:rFonts w:ascii="Arial" w:eastAsia="Arial" w:hAnsi="Arial" w:cs="Arial"/>
          <w:color w:val="010000"/>
          <w:sz w:val="20"/>
          <w:szCs w:val="20"/>
        </w:rPr>
      </w:pPr>
      <w:r>
        <w:rPr>
          <w:rFonts w:ascii="Arial" w:hAnsi="Arial"/>
          <w:color w:val="010000"/>
          <w:sz w:val="20"/>
        </w:rPr>
        <w:t xml:space="preserve">Authorize the Board of Directors and the </w:t>
      </w:r>
      <w:r w:rsidR="00E63FCC">
        <w:rPr>
          <w:rFonts w:ascii="Arial" w:hAnsi="Arial"/>
          <w:color w:val="010000"/>
          <w:sz w:val="20"/>
        </w:rPr>
        <w:t>Managing Director</w:t>
      </w:r>
      <w:r>
        <w:rPr>
          <w:rFonts w:ascii="Arial" w:hAnsi="Arial"/>
          <w:color w:val="010000"/>
          <w:sz w:val="20"/>
        </w:rPr>
        <w:t xml:space="preserve"> of Tung </w:t>
      </w:r>
      <w:proofErr w:type="spellStart"/>
      <w:r>
        <w:rPr>
          <w:rFonts w:ascii="Arial" w:hAnsi="Arial"/>
          <w:color w:val="010000"/>
          <w:sz w:val="20"/>
        </w:rPr>
        <w:t>Kuang</w:t>
      </w:r>
      <w:proofErr w:type="spellEnd"/>
      <w:r>
        <w:rPr>
          <w:rFonts w:ascii="Arial" w:hAnsi="Arial"/>
          <w:color w:val="010000"/>
          <w:sz w:val="20"/>
        </w:rPr>
        <w:t xml:space="preserve"> to carry out all legal procedures and related issues to complete the additional listing of shares </w:t>
      </w:r>
      <w:r w:rsidR="00E63FCC">
        <w:rPr>
          <w:rFonts w:ascii="Arial" w:hAnsi="Arial"/>
          <w:color w:val="010000"/>
          <w:sz w:val="20"/>
        </w:rPr>
        <w:t>under applicable laws</w:t>
      </w:r>
      <w:r>
        <w:rPr>
          <w:rFonts w:ascii="Arial" w:hAnsi="Arial"/>
          <w:color w:val="010000"/>
          <w:sz w:val="20"/>
        </w:rPr>
        <w:t>.</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the Proposal on amending and supplementing to the Company's Chart</w:t>
      </w:r>
      <w:r>
        <w:rPr>
          <w:rFonts w:ascii="Arial" w:hAnsi="Arial"/>
          <w:color w:val="010000"/>
          <w:sz w:val="20"/>
        </w:rPr>
        <w:t>er.</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una</w:t>
      </w:r>
      <w:r w:rsidR="00E63FCC">
        <w:rPr>
          <w:rFonts w:ascii="Arial" w:hAnsi="Arial"/>
          <w:color w:val="010000"/>
          <w:sz w:val="20"/>
        </w:rPr>
        <w:t>nimously approved the Charter on</w:t>
      </w:r>
      <w:r>
        <w:rPr>
          <w:rFonts w:ascii="Arial" w:hAnsi="Arial"/>
          <w:color w:val="010000"/>
          <w:sz w:val="20"/>
        </w:rPr>
        <w:t xml:space="preserve"> Organization and Operation</w:t>
      </w:r>
      <w:r w:rsidR="00E63FCC">
        <w:rPr>
          <w:rFonts w:ascii="Arial" w:hAnsi="Arial"/>
          <w:color w:val="010000"/>
          <w:sz w:val="20"/>
        </w:rPr>
        <w:t>s</w:t>
      </w:r>
      <w:r>
        <w:rPr>
          <w:rFonts w:ascii="Arial" w:hAnsi="Arial"/>
          <w:color w:val="010000"/>
          <w:sz w:val="20"/>
        </w:rPr>
        <w:t xml:space="preserve"> of Tung </w:t>
      </w:r>
      <w:proofErr w:type="spellStart"/>
      <w:r>
        <w:rPr>
          <w:rFonts w:ascii="Arial" w:hAnsi="Arial"/>
          <w:color w:val="010000"/>
          <w:sz w:val="20"/>
        </w:rPr>
        <w:t>Kuang</w:t>
      </w:r>
      <w:proofErr w:type="spellEnd"/>
      <w:r>
        <w:rPr>
          <w:rFonts w:ascii="Arial" w:hAnsi="Arial"/>
          <w:color w:val="010000"/>
          <w:sz w:val="20"/>
        </w:rPr>
        <w:t xml:space="preserve"> Industrial Joint Stock Company, which has been amended and supplemented to suit the reality and the Enterprise Law.</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the Proposal to sele</w:t>
      </w:r>
      <w:r>
        <w:rPr>
          <w:rFonts w:ascii="Arial" w:hAnsi="Arial"/>
          <w:color w:val="010000"/>
          <w:sz w:val="20"/>
        </w:rPr>
        <w:t>ct an audit company for the fiscal year 2024.</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unanimously authorizes the Board of General Directors to negotiate and sign with one of the audit companies named in the list of audit companies approved to audit for issuers, listed organizations and securities trading organizations in</w:t>
      </w:r>
      <w:r>
        <w:rPr>
          <w:rFonts w:ascii="Arial" w:hAnsi="Arial"/>
          <w:color w:val="010000"/>
          <w:sz w:val="20"/>
        </w:rPr>
        <w:t xml:space="preserve"> 2024 by the State Securities Commission as an independent audit company for the Company's fiscal year 2024.</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Terms of enforcement:</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by the Annual </w:t>
      </w:r>
      <w:r w:rsidR="00E63FCC">
        <w:rPr>
          <w:rFonts w:ascii="Arial" w:hAnsi="Arial"/>
          <w:color w:val="010000"/>
          <w:sz w:val="20"/>
        </w:rPr>
        <w:t>General Meeting</w:t>
      </w:r>
      <w:r>
        <w:rPr>
          <w:rFonts w:ascii="Arial" w:hAnsi="Arial"/>
          <w:color w:val="010000"/>
          <w:sz w:val="20"/>
        </w:rPr>
        <w:t xml:space="preserve"> in 2024 and takes effect from Apri</w:t>
      </w:r>
      <w:r>
        <w:rPr>
          <w:rFonts w:ascii="Arial" w:hAnsi="Arial"/>
          <w:color w:val="010000"/>
          <w:sz w:val="20"/>
        </w:rPr>
        <w:t>l 26, 2024.</w:t>
      </w:r>
    </w:p>
    <w:p w:rsidR="000F5379" w:rsidRDefault="006D5C69" w:rsidP="00E63FC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unanimously assigns the Board of Directors,</w:t>
      </w:r>
      <w:r>
        <w:rPr>
          <w:rFonts w:ascii="Arial" w:hAnsi="Arial"/>
          <w:color w:val="010000"/>
          <w:sz w:val="20"/>
        </w:rPr>
        <w:t xml:space="preserve"> Supervisory Board and Executive Board</w:t>
      </w:r>
      <w:bookmarkStart w:id="1" w:name="_GoBack"/>
      <w:bookmarkEnd w:id="1"/>
      <w:r>
        <w:rPr>
          <w:rFonts w:ascii="Arial" w:hAnsi="Arial"/>
          <w:color w:val="010000"/>
          <w:sz w:val="20"/>
        </w:rPr>
        <w:t xml:space="preserve"> to implement the contents of the General Mandate in accordance with regulations.</w:t>
      </w:r>
    </w:p>
    <w:sectPr w:rsidR="000F537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02AA4"/>
    <w:multiLevelType w:val="multilevel"/>
    <w:tmpl w:val="3468D3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E796CED"/>
    <w:multiLevelType w:val="multilevel"/>
    <w:tmpl w:val="078CFB7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79"/>
    <w:rsid w:val="000F5379"/>
    <w:rsid w:val="006D5C69"/>
    <w:rsid w:val="00E6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71B2"/>
  <w15:docId w15:val="{5BDEF144-B005-4472-AD6E-2AB94321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Palatino Linotype" w:eastAsia="Palatino Linotype" w:hAnsi="Palatino Linotype" w:cs="Palatino Linotype"/>
      <w:b w:val="0"/>
      <w:bCs w:val="0"/>
      <w:i w:val="0"/>
      <w:iCs w:val="0"/>
      <w:smallCaps w:val="0"/>
      <w:strike w:val="0"/>
      <w:color w:val="CA5666"/>
      <w:sz w:val="18"/>
      <w:szCs w:val="1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CA5666"/>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20">
    <w:name w:val="Văn bản nội dung (2)"/>
    <w:basedOn w:val="Normal"/>
    <w:link w:val="Vnbnnidung2"/>
    <w:pPr>
      <w:spacing w:line="259" w:lineRule="auto"/>
    </w:pPr>
    <w:rPr>
      <w:rFonts w:ascii="Times New Roman" w:eastAsia="Times New Roman" w:hAnsi="Times New Roman" w:cs="Times New Roman"/>
      <w:i/>
      <w:iCs/>
      <w:sz w:val="22"/>
      <w:szCs w:val="22"/>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312" w:lineRule="auto"/>
    </w:pPr>
    <w:rPr>
      <w:rFonts w:ascii="Times New Roman" w:eastAsia="Times New Roman" w:hAnsi="Times New Roman" w:cs="Times New Roman"/>
    </w:rPr>
  </w:style>
  <w:style w:type="paragraph" w:customStyle="1" w:styleId="Tiu30">
    <w:name w:val="Tiêu đề #3"/>
    <w:basedOn w:val="Normal"/>
    <w:link w:val="Tiu3"/>
    <w:pPr>
      <w:jc w:val="center"/>
      <w:outlineLvl w:val="2"/>
    </w:pPr>
    <w:rPr>
      <w:rFonts w:ascii="Times New Roman" w:eastAsia="Times New Roman" w:hAnsi="Times New Roman" w:cs="Times New Roman"/>
      <w:b/>
      <w:bCs/>
    </w:rPr>
  </w:style>
  <w:style w:type="paragraph" w:customStyle="1" w:styleId="Vnbnnidung30">
    <w:name w:val="Văn bản nội dung (3)"/>
    <w:basedOn w:val="Normal"/>
    <w:link w:val="Vnbnnidung3"/>
    <w:pPr>
      <w:jc w:val="right"/>
    </w:pPr>
    <w:rPr>
      <w:rFonts w:ascii="Palatino Linotype" w:eastAsia="Palatino Linotype" w:hAnsi="Palatino Linotype" w:cs="Palatino Linotype"/>
      <w:color w:val="CA5666"/>
      <w:sz w:val="18"/>
      <w:szCs w:val="18"/>
    </w:rPr>
  </w:style>
  <w:style w:type="paragraph" w:customStyle="1" w:styleId="Tiu20">
    <w:name w:val="Tiêu đề #2"/>
    <w:basedOn w:val="Normal"/>
    <w:link w:val="Tiu2"/>
    <w:pPr>
      <w:jc w:val="center"/>
      <w:outlineLvl w:val="1"/>
    </w:pPr>
    <w:rPr>
      <w:rFonts w:ascii="Times New Roman" w:eastAsia="Times New Roman" w:hAnsi="Times New Roman" w:cs="Times New Roman"/>
      <w:color w:val="CA5666"/>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kYXCa5fo2JEer5W7xr5CTmcatA==">CgMxLjAyCGguZ2pkZ3hzOAByITFESlpYT1JneWFFdjVPQ1ZFN1JrNnpiUjg1RFN2OGVEUg==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2024-05-06T04:13:00Z</dcterms:created>
  <dcterms:modified xsi:type="dcterms:W3CDTF">2024-05-06T04:13:00Z</dcterms:modified>
</cp:coreProperties>
</file>