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41" w:rsidRDefault="00D92A69" w:rsidP="0013382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TVG: Annual General Mandate 2024</w:t>
      </w:r>
    </w:p>
    <w:p w:rsidR="00174A41" w:rsidRDefault="00D92A69" w:rsidP="0013382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April 23, 2024, Transport Investment and Construction Consultant JSC announced General Mandate No. 01/TRICC-NQ/DHCD as follows:</w:t>
      </w:r>
    </w:p>
    <w:p w:rsidR="00174A41" w:rsidRDefault="00D92A69" w:rsidP="0013382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>
        <w:rPr>
          <w:rFonts w:ascii="Arial" w:hAnsi="Arial"/>
          <w:color w:val="010000"/>
          <w:sz w:val="20"/>
        </w:rPr>
        <w:t>‎‎Article 1.</w:t>
      </w:r>
      <w:proofErr w:type="gramEnd"/>
      <w:r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>Approve the agenda of the General Meeting and the regulation on organization of the General Meeting.</w:t>
      </w:r>
    </w:p>
    <w:p w:rsidR="00174A41" w:rsidRDefault="00D92A69" w:rsidP="0013382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>
        <w:rPr>
          <w:rFonts w:ascii="Arial" w:hAnsi="Arial"/>
          <w:color w:val="010000"/>
          <w:sz w:val="20"/>
        </w:rPr>
        <w:t>‎‎Article 2.</w:t>
      </w:r>
      <w:proofErr w:type="gramEnd"/>
      <w:r>
        <w:rPr>
          <w:rFonts w:ascii="Arial" w:hAnsi="Arial"/>
          <w:color w:val="010000"/>
          <w:sz w:val="20"/>
        </w:rPr>
        <w:t xml:space="preserve"> Approve the production and business results in 2023 according to the report of the Executive Board with the following contents:</w:t>
      </w:r>
    </w:p>
    <w:tbl>
      <w:tblPr>
        <w:tblStyle w:val="a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7"/>
        <w:gridCol w:w="2167"/>
        <w:gridCol w:w="2825"/>
      </w:tblGrid>
      <w:tr w:rsidR="00174A41">
        <w:tc>
          <w:tcPr>
            <w:tcW w:w="40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Output: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27</w:t>
            </w:r>
          </w:p>
        </w:tc>
        <w:tc>
          <w:tcPr>
            <w:tcW w:w="28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</w:t>
            </w:r>
            <w:r>
              <w:rPr>
                <w:rFonts w:ascii="Arial" w:hAnsi="Arial"/>
                <w:color w:val="010000"/>
                <w:sz w:val="20"/>
              </w:rPr>
              <w:t>lion VND</w:t>
            </w:r>
          </w:p>
        </w:tc>
      </w:tr>
      <w:tr w:rsidR="00174A41">
        <w:tc>
          <w:tcPr>
            <w:tcW w:w="40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Revenue: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35</w:t>
            </w:r>
          </w:p>
        </w:tc>
        <w:tc>
          <w:tcPr>
            <w:tcW w:w="28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</w:tr>
      <w:tr w:rsidR="00174A41">
        <w:tc>
          <w:tcPr>
            <w:tcW w:w="40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Capital recovery: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46</w:t>
            </w:r>
          </w:p>
        </w:tc>
        <w:tc>
          <w:tcPr>
            <w:tcW w:w="28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</w:tr>
      <w:tr w:rsidR="00174A41">
        <w:tc>
          <w:tcPr>
            <w:tcW w:w="40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Profit: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164</w:t>
            </w:r>
          </w:p>
        </w:tc>
        <w:tc>
          <w:tcPr>
            <w:tcW w:w="28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</w:tr>
      <w:tr w:rsidR="00174A41">
        <w:tc>
          <w:tcPr>
            <w:tcW w:w="40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+ Average income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14.5</w:t>
            </w:r>
          </w:p>
        </w:tc>
        <w:tc>
          <w:tcPr>
            <w:tcW w:w="28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VND/ person/ month</w:t>
            </w:r>
          </w:p>
        </w:tc>
      </w:tr>
    </w:tbl>
    <w:p w:rsidR="00174A41" w:rsidRDefault="00D92A69" w:rsidP="0013382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>
        <w:rPr>
          <w:rFonts w:ascii="Arial" w:hAnsi="Arial"/>
          <w:color w:val="010000"/>
          <w:sz w:val="20"/>
        </w:rPr>
        <w:t>‎‎Article 3.</w:t>
      </w:r>
      <w:proofErr w:type="gramEnd"/>
      <w:r>
        <w:rPr>
          <w:rFonts w:ascii="Arial" w:hAnsi="Arial"/>
          <w:color w:val="010000"/>
          <w:sz w:val="20"/>
        </w:rPr>
        <w:t xml:space="preserve"> Approve the main orientation, tasks and solutions in the production and business plan for 2024:</w:t>
      </w:r>
    </w:p>
    <w:tbl>
      <w:tblPr>
        <w:tblStyle w:val="a0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2742"/>
        <w:gridCol w:w="1595"/>
        <w:gridCol w:w="3822"/>
      </w:tblGrid>
      <w:tr w:rsidR="00174A41">
        <w:tc>
          <w:tcPr>
            <w:tcW w:w="8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7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Units</w:t>
            </w:r>
          </w:p>
        </w:tc>
        <w:tc>
          <w:tcPr>
            <w:tcW w:w="38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</w:t>
            </w:r>
          </w:p>
        </w:tc>
      </w:tr>
      <w:tr w:rsidR="00174A41">
        <w:tc>
          <w:tcPr>
            <w:tcW w:w="8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7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Output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38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36</w:t>
            </w:r>
          </w:p>
        </w:tc>
      </w:tr>
      <w:tr w:rsidR="00174A41">
        <w:tc>
          <w:tcPr>
            <w:tcW w:w="8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7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38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38</w:t>
            </w:r>
          </w:p>
        </w:tc>
      </w:tr>
      <w:tr w:rsidR="00174A41">
        <w:tc>
          <w:tcPr>
            <w:tcW w:w="8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7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Capital recovery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38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49</w:t>
            </w:r>
          </w:p>
        </w:tc>
      </w:tr>
      <w:tr w:rsidR="00174A41">
        <w:tc>
          <w:tcPr>
            <w:tcW w:w="8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7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38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1.4</w:t>
            </w:r>
          </w:p>
        </w:tc>
      </w:tr>
      <w:tr w:rsidR="00174A41">
        <w:tc>
          <w:tcPr>
            <w:tcW w:w="8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7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Payable to state budget: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38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5.0</w:t>
            </w:r>
          </w:p>
        </w:tc>
      </w:tr>
      <w:tr w:rsidR="00174A41">
        <w:tc>
          <w:tcPr>
            <w:tcW w:w="8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7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 payment rate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%/year</w:t>
            </w:r>
          </w:p>
        </w:tc>
        <w:tc>
          <w:tcPr>
            <w:tcW w:w="38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sdt>
              <w:sdtPr>
                <w:tag w:val="goog_rdk_0"/>
                <w:id w:val="-800996885"/>
              </w:sdtPr>
              <w:sdtEndPr/>
              <w:sdtContent>
                <w:r>
                  <w:rPr>
                    <w:rFonts w:ascii="Arial Unicode MS" w:hAnsi="Arial Unicode MS"/>
                    <w:color w:val="010000"/>
                    <w:sz w:val="20"/>
                  </w:rPr>
                  <w:t xml:space="preserve"> ≥ Bank interest rate (lowest</w:t>
                </w:r>
                <w:r w:rsidR="00A43B83">
                  <w:rPr>
                    <w:rFonts w:ascii="Arial Unicode MS" w:hAnsi="Arial Unicode MS"/>
                    <w:color w:val="010000"/>
                    <w:sz w:val="20"/>
                  </w:rPr>
                  <w:t xml:space="preserve"> at</w:t>
                </w:r>
                <w:r>
                  <w:rPr>
                    <w:rFonts w:ascii="Arial Unicode MS" w:hAnsi="Arial Unicode MS"/>
                    <w:color w:val="010000"/>
                    <w:sz w:val="20"/>
                  </w:rPr>
                  <w:t xml:space="preserve"> 6%)</w:t>
                </w:r>
              </w:sdtContent>
            </w:sdt>
          </w:p>
        </w:tc>
      </w:tr>
    </w:tbl>
    <w:p w:rsidR="00174A41" w:rsidRDefault="00D92A69" w:rsidP="0013382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>
        <w:rPr>
          <w:rFonts w:ascii="Arial" w:hAnsi="Arial"/>
          <w:color w:val="010000"/>
          <w:sz w:val="20"/>
        </w:rPr>
        <w:t>‎‎Article 4.</w:t>
      </w:r>
      <w:proofErr w:type="gramEnd"/>
      <w:r>
        <w:rPr>
          <w:rFonts w:ascii="Arial" w:hAnsi="Arial"/>
          <w:color w:val="010000"/>
          <w:sz w:val="20"/>
        </w:rPr>
        <w:t xml:space="preserve"> Approve the Report of the Board of Directors and the profit distribution plan for 2023 as follows:</w:t>
      </w:r>
    </w:p>
    <w:tbl>
      <w:tblPr>
        <w:tblStyle w:val="a1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5507"/>
        <w:gridCol w:w="2626"/>
      </w:tblGrid>
      <w:tr w:rsidR="00174A41">
        <w:tc>
          <w:tcPr>
            <w:tcW w:w="8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55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  <w:tc>
          <w:tcPr>
            <w:tcW w:w="2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Amount</w:t>
            </w:r>
          </w:p>
        </w:tc>
      </w:tr>
      <w:tr w:rsidR="00174A41">
        <w:tc>
          <w:tcPr>
            <w:tcW w:w="8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55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Undistributed profit after tax accumulated as of the end of last year</w:t>
            </w:r>
            <w:bookmarkStart w:id="0" w:name="_GoBack"/>
            <w:bookmarkEnd w:id="0"/>
          </w:p>
        </w:tc>
        <w:tc>
          <w:tcPr>
            <w:tcW w:w="2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 w:rsidP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403,034,516</w:t>
            </w:r>
          </w:p>
        </w:tc>
      </w:tr>
      <w:tr w:rsidR="00174A41">
        <w:tc>
          <w:tcPr>
            <w:tcW w:w="8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55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Realized profit in 2023</w:t>
            </w:r>
          </w:p>
        </w:tc>
        <w:tc>
          <w:tcPr>
            <w:tcW w:w="2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 w:rsidP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484,001,654</w:t>
            </w:r>
          </w:p>
        </w:tc>
      </w:tr>
      <w:tr w:rsidR="00174A41">
        <w:tc>
          <w:tcPr>
            <w:tcW w:w="8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55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Corporate income tax in 2023</w:t>
            </w:r>
          </w:p>
        </w:tc>
        <w:tc>
          <w:tcPr>
            <w:tcW w:w="2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 w:rsidP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319,755,162</w:t>
            </w:r>
          </w:p>
        </w:tc>
      </w:tr>
      <w:tr w:rsidR="00174A41">
        <w:tc>
          <w:tcPr>
            <w:tcW w:w="8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55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 in 2023</w:t>
            </w:r>
          </w:p>
        </w:tc>
        <w:tc>
          <w:tcPr>
            <w:tcW w:w="2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 w:rsidP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164,246,492</w:t>
            </w:r>
          </w:p>
        </w:tc>
      </w:tr>
      <w:tr w:rsidR="00174A41">
        <w:tc>
          <w:tcPr>
            <w:tcW w:w="8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55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accumulated undistributed profit as at 2023:</w:t>
            </w:r>
          </w:p>
        </w:tc>
        <w:tc>
          <w:tcPr>
            <w:tcW w:w="2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 w:rsidP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567,281,008</w:t>
            </w:r>
          </w:p>
        </w:tc>
      </w:tr>
      <w:tr w:rsidR="00174A41">
        <w:tc>
          <w:tcPr>
            <w:tcW w:w="8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6</w:t>
            </w:r>
          </w:p>
        </w:tc>
        <w:tc>
          <w:tcPr>
            <w:tcW w:w="55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distribution in 2023:</w:t>
            </w:r>
          </w:p>
        </w:tc>
        <w:tc>
          <w:tcPr>
            <w:tcW w:w="2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174A4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74A41">
        <w:tc>
          <w:tcPr>
            <w:tcW w:w="8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813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74A41" w:rsidRDefault="00D9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 dividend payment and fund allocation due to low profit after tax</w:t>
            </w:r>
          </w:p>
        </w:tc>
      </w:tr>
    </w:tbl>
    <w:p w:rsidR="00174A41" w:rsidRDefault="00D92A69" w:rsidP="0013382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>
        <w:rPr>
          <w:rFonts w:ascii="Arial" w:hAnsi="Arial"/>
          <w:color w:val="010000"/>
          <w:sz w:val="20"/>
        </w:rPr>
        <w:t>‎‎Article 5.</w:t>
      </w:r>
      <w:proofErr w:type="gramEnd"/>
      <w:r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>Approve the remuneration rate for the Board of Directors and the Supervisory Board in 2024 is 6% of profit after tax, in which:</w:t>
      </w:r>
      <w:r>
        <w:rPr>
          <w:rFonts w:ascii="Arial" w:hAnsi="Arial"/>
          <w:color w:val="010000"/>
          <w:sz w:val="20"/>
        </w:rPr>
        <w:t xml:space="preserve"> The Board of Directors: 4.5%, the Supervisory Board: 1.5%.</w:t>
      </w:r>
    </w:p>
    <w:p w:rsidR="00174A41" w:rsidRDefault="00D92A69" w:rsidP="0013382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>
        <w:rPr>
          <w:rFonts w:ascii="Arial" w:hAnsi="Arial"/>
          <w:color w:val="010000"/>
          <w:sz w:val="20"/>
        </w:rPr>
        <w:t>‎‎Article 6.</w:t>
      </w:r>
      <w:proofErr w:type="gramEnd"/>
      <w:r>
        <w:rPr>
          <w:rFonts w:ascii="Arial" w:hAnsi="Arial"/>
          <w:color w:val="010000"/>
          <w:sz w:val="20"/>
        </w:rPr>
        <w:t xml:space="preserve"> Approve the report of the Supervisory Board</w:t>
      </w:r>
      <w:r>
        <w:rPr>
          <w:rFonts w:ascii="Arial" w:hAnsi="Arial"/>
          <w:color w:val="010000"/>
          <w:sz w:val="20"/>
        </w:rPr>
        <w:t xml:space="preserve"> on the assessment of the company's governance and administration and the results of the appraisal report of the 2023 Financial Statements.</w:t>
      </w:r>
    </w:p>
    <w:p w:rsidR="00174A41" w:rsidRDefault="00D92A69" w:rsidP="0013382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>
        <w:rPr>
          <w:rFonts w:ascii="Arial" w:hAnsi="Arial"/>
          <w:color w:val="010000"/>
          <w:sz w:val="20"/>
        </w:rPr>
        <w:t>‎‎Article 7.</w:t>
      </w:r>
      <w:proofErr w:type="gramEnd"/>
      <w:r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 xml:space="preserve">Approve the dismissal of the member of the Supervisory Board - Ms. Dang Thi </w:t>
      </w:r>
      <w:proofErr w:type="spellStart"/>
      <w:r>
        <w:rPr>
          <w:rFonts w:ascii="Arial" w:hAnsi="Arial"/>
          <w:color w:val="010000"/>
          <w:sz w:val="20"/>
        </w:rPr>
        <w:t>Hoan</w:t>
      </w:r>
      <w:proofErr w:type="spellEnd"/>
      <w:r>
        <w:rPr>
          <w:rFonts w:ascii="Arial" w:hAnsi="Arial"/>
          <w:color w:val="010000"/>
          <w:sz w:val="20"/>
        </w:rPr>
        <w:t xml:space="preserve"> and elect an additiona</w:t>
      </w:r>
      <w:r>
        <w:rPr>
          <w:rFonts w:ascii="Arial" w:hAnsi="Arial"/>
          <w:color w:val="010000"/>
          <w:sz w:val="20"/>
        </w:rPr>
        <w:t>l member of the Supervisory Board - Mr. Trinh Van Tan.</w:t>
      </w:r>
      <w:r>
        <w:rPr>
          <w:rFonts w:ascii="Arial" w:hAnsi="Arial"/>
          <w:color w:val="010000"/>
          <w:sz w:val="20"/>
        </w:rPr>
        <w:t xml:space="preserve">  </w:t>
      </w:r>
    </w:p>
    <w:p w:rsidR="00174A41" w:rsidRDefault="00D92A69" w:rsidP="0013382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>
        <w:rPr>
          <w:rFonts w:ascii="Arial" w:hAnsi="Arial"/>
          <w:color w:val="010000"/>
          <w:sz w:val="20"/>
        </w:rPr>
        <w:t>‎‎Article 8.</w:t>
      </w:r>
      <w:proofErr w:type="gramEnd"/>
      <w:r>
        <w:rPr>
          <w:rFonts w:ascii="Arial" w:hAnsi="Arial"/>
          <w:color w:val="010000"/>
          <w:sz w:val="20"/>
        </w:rPr>
        <w:t xml:space="preserve"> Terms of enforcement</w:t>
      </w:r>
    </w:p>
    <w:p w:rsidR="00174A41" w:rsidRDefault="00D92A69" w:rsidP="001338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This General Mandate was unanimously approved by the General Meeting of Shareholders in its entirety at the 18th Annual General Meeting of Shareholders in 2024 and t</w:t>
      </w:r>
      <w:r>
        <w:rPr>
          <w:rFonts w:ascii="Arial" w:hAnsi="Arial"/>
          <w:color w:val="010000"/>
          <w:sz w:val="20"/>
        </w:rPr>
        <w:t>akes effect from the date of approval.</w:t>
      </w:r>
    </w:p>
    <w:p w:rsidR="00174A41" w:rsidRDefault="00D92A69" w:rsidP="001338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174A41">
          <w:pgSz w:w="11909" w:h="16840"/>
          <w:pgMar w:top="1440" w:right="1440" w:bottom="1440" w:left="1440" w:header="0" w:footer="3" w:gutter="0"/>
          <w:pgNumType w:start="1"/>
          <w:cols w:space="720"/>
        </w:sectPr>
      </w:pPr>
      <w:r>
        <w:rPr>
          <w:rFonts w:ascii="Arial" w:hAnsi="Arial"/>
          <w:color w:val="010000"/>
          <w:sz w:val="20"/>
        </w:rPr>
        <w:t>Members of the Board of Directors, Supervisory Board, Executive Board and all shareholders of Transport Investment and Construction Consultant JSC are responsible for implementing this General Mandate; organize the implementation according to their compete</w:t>
      </w:r>
      <w:r>
        <w:rPr>
          <w:rFonts w:ascii="Arial" w:hAnsi="Arial"/>
          <w:color w:val="010000"/>
          <w:sz w:val="20"/>
        </w:rPr>
        <w:t>nce and functions in accordance with the provisions of law and the Charter on organization and operation of the Company.</w:t>
      </w:r>
    </w:p>
    <w:p w:rsidR="00174A41" w:rsidRDefault="00174A41" w:rsidP="0013382F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174A41">
      <w:type w:val="continuous"/>
      <w:pgSz w:w="11909" w:h="16840"/>
      <w:pgMar w:top="1440" w:right="1440" w:bottom="1440" w:left="1440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60B5"/>
    <w:multiLevelType w:val="multilevel"/>
    <w:tmpl w:val="9EEC2A3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74A41"/>
    <w:rsid w:val="0013382F"/>
    <w:rsid w:val="00174A41"/>
    <w:rsid w:val="00A43B83"/>
    <w:rsid w:val="00D9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w w:val="80"/>
      <w:sz w:val="16"/>
      <w:szCs w:val="1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/>
      <w:strike w:val="0"/>
      <w:sz w:val="20"/>
      <w:szCs w:val="2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5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Khc0">
    <w:name w:val="Khác"/>
    <w:basedOn w:val="Normal"/>
    <w:link w:val="Khc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hthchbng0">
    <w:name w:val="Chú thích bảng"/>
    <w:basedOn w:val="Normal"/>
    <w:link w:val="Chthchbng"/>
    <w:pPr>
      <w:ind w:firstLine="5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50">
    <w:name w:val="Văn bản nội dung (5)"/>
    <w:basedOn w:val="Normal"/>
    <w:link w:val="Vnbnnidung5"/>
    <w:pPr>
      <w:ind w:left="1960"/>
    </w:pPr>
    <w:rPr>
      <w:rFonts w:ascii="Arial" w:eastAsia="Arial" w:hAnsi="Arial" w:cs="Arial"/>
      <w:b/>
      <w:bCs/>
      <w:sz w:val="8"/>
      <w:szCs w:val="8"/>
    </w:rPr>
  </w:style>
  <w:style w:type="paragraph" w:customStyle="1" w:styleId="Vnbnnidung60">
    <w:name w:val="Văn bản nội dung (6)"/>
    <w:basedOn w:val="Normal"/>
    <w:link w:val="Vnbnnidung6"/>
    <w:pPr>
      <w:jc w:val="right"/>
    </w:pPr>
    <w:rPr>
      <w:rFonts w:ascii="Arial" w:eastAsia="Arial" w:hAnsi="Arial" w:cs="Arial"/>
      <w:sz w:val="18"/>
      <w:szCs w:val="18"/>
    </w:rPr>
  </w:style>
  <w:style w:type="paragraph" w:customStyle="1" w:styleId="Vnbnnidung30">
    <w:name w:val="Văn bản nội dung (3)"/>
    <w:basedOn w:val="Normal"/>
    <w:link w:val="Vnbnnidung3"/>
    <w:pPr>
      <w:ind w:firstLine="180"/>
    </w:pPr>
    <w:rPr>
      <w:rFonts w:ascii="Arial" w:eastAsia="Arial" w:hAnsi="Arial" w:cs="Arial"/>
      <w:b/>
      <w:bCs/>
      <w:w w:val="80"/>
      <w:sz w:val="16"/>
      <w:szCs w:val="16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mallCap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2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w w:val="80"/>
      <w:sz w:val="16"/>
      <w:szCs w:val="1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/>
      <w:strike w:val="0"/>
      <w:sz w:val="20"/>
      <w:szCs w:val="2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5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Khc0">
    <w:name w:val="Khác"/>
    <w:basedOn w:val="Normal"/>
    <w:link w:val="Khc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hthchbng0">
    <w:name w:val="Chú thích bảng"/>
    <w:basedOn w:val="Normal"/>
    <w:link w:val="Chthchbng"/>
    <w:pPr>
      <w:ind w:firstLine="5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50">
    <w:name w:val="Văn bản nội dung (5)"/>
    <w:basedOn w:val="Normal"/>
    <w:link w:val="Vnbnnidung5"/>
    <w:pPr>
      <w:ind w:left="1960"/>
    </w:pPr>
    <w:rPr>
      <w:rFonts w:ascii="Arial" w:eastAsia="Arial" w:hAnsi="Arial" w:cs="Arial"/>
      <w:b/>
      <w:bCs/>
      <w:sz w:val="8"/>
      <w:szCs w:val="8"/>
    </w:rPr>
  </w:style>
  <w:style w:type="paragraph" w:customStyle="1" w:styleId="Vnbnnidung60">
    <w:name w:val="Văn bản nội dung (6)"/>
    <w:basedOn w:val="Normal"/>
    <w:link w:val="Vnbnnidung6"/>
    <w:pPr>
      <w:jc w:val="right"/>
    </w:pPr>
    <w:rPr>
      <w:rFonts w:ascii="Arial" w:eastAsia="Arial" w:hAnsi="Arial" w:cs="Arial"/>
      <w:sz w:val="18"/>
      <w:szCs w:val="18"/>
    </w:rPr>
  </w:style>
  <w:style w:type="paragraph" w:customStyle="1" w:styleId="Vnbnnidung30">
    <w:name w:val="Văn bản nội dung (3)"/>
    <w:basedOn w:val="Normal"/>
    <w:link w:val="Vnbnnidung3"/>
    <w:pPr>
      <w:ind w:firstLine="180"/>
    </w:pPr>
    <w:rPr>
      <w:rFonts w:ascii="Arial" w:eastAsia="Arial" w:hAnsi="Arial" w:cs="Arial"/>
      <w:b/>
      <w:bCs/>
      <w:w w:val="80"/>
      <w:sz w:val="16"/>
      <w:szCs w:val="16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mallCap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2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0MK+tapGhDvnqMxxJmfx1QEgsQ==">CgMxLjAaJAoBMBIfCh0IB0IZCgVBcmlhbBIQQXJpYWwgVW5pY29kZSBNUzgAciExR2U2Ul9JeHNaQTVIV2xpek02TEJ3bmJFeXZrSlk0dDE=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4</cp:revision>
  <dcterms:created xsi:type="dcterms:W3CDTF">2024-05-04T04:39:00Z</dcterms:created>
  <dcterms:modified xsi:type="dcterms:W3CDTF">2024-05-06T06:36:00Z</dcterms:modified>
</cp:coreProperties>
</file>