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7E" w:rsidRDefault="00715B7E" w:rsidP="00715B7E">
      <w:pPr>
        <w:pBdr>
          <w:top w:val="nil"/>
          <w:left w:val="nil"/>
          <w:bottom w:val="nil"/>
          <w:right w:val="nil"/>
          <w:between w:val="nil"/>
        </w:pBdr>
        <w:tabs>
          <w:tab w:val="left" w:pos="4158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>
        <w:rPr>
          <w:rFonts w:ascii="Arial" w:hAnsi="Arial"/>
          <w:b/>
          <w:bCs/>
          <w:color w:val="010000"/>
          <w:sz w:val="20"/>
        </w:rPr>
        <w:t>VE1:</w:t>
      </w:r>
      <w:r>
        <w:rPr>
          <w:rFonts w:ascii="Arial" w:hAnsi="Arial"/>
          <w:b/>
          <w:color w:val="010000"/>
          <w:sz w:val="20"/>
        </w:rPr>
        <w:t xml:space="preserve"> Annual General Mandate 2024</w:t>
      </w:r>
    </w:p>
    <w:p w:rsidR="000D637E" w:rsidRDefault="00715B7E" w:rsidP="00715B7E">
      <w:pPr>
        <w:pBdr>
          <w:top w:val="nil"/>
          <w:left w:val="nil"/>
          <w:bottom w:val="nil"/>
          <w:right w:val="nil"/>
          <w:between w:val="nil"/>
        </w:pBdr>
        <w:tabs>
          <w:tab w:val="left" w:pos="41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On April 26, 2024, VNECO 1 Electricity Construction JSC </w:t>
      </w:r>
      <w:proofErr w:type="spellStart"/>
      <w:r>
        <w:rPr>
          <w:rFonts w:ascii="Arial" w:hAnsi="Arial"/>
          <w:color w:val="010000"/>
          <w:sz w:val="20"/>
        </w:rPr>
        <w:t>annonced</w:t>
      </w:r>
      <w:proofErr w:type="spellEnd"/>
      <w:r>
        <w:rPr>
          <w:rFonts w:ascii="Arial" w:hAnsi="Arial"/>
          <w:color w:val="010000"/>
          <w:sz w:val="20"/>
        </w:rPr>
        <w:t xml:space="preserve"> General Mandate No. 34NQ/VNECO1-DHDCD as follows:</w:t>
      </w:r>
    </w:p>
    <w:p w:rsidR="000D637E" w:rsidRDefault="00715B7E" w:rsidP="00715B7E">
      <w:pPr>
        <w:pBdr>
          <w:top w:val="nil"/>
          <w:left w:val="nil"/>
          <w:bottom w:val="nil"/>
          <w:right w:val="nil"/>
          <w:between w:val="nil"/>
        </w:pBdr>
        <w:tabs>
          <w:tab w:val="left" w:pos="41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>
        <w:rPr>
          <w:rFonts w:ascii="Arial" w:hAnsi="Arial"/>
          <w:color w:val="010000"/>
          <w:sz w:val="20"/>
        </w:rPr>
        <w:t>Article 1: The following contents were approved at the Meeting:</w:t>
      </w:r>
    </w:p>
    <w:p w:rsidR="000D637E" w:rsidRDefault="00715B7E" w:rsidP="00715B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Approve the Production and Business Activity Report 2023 of VNECO 1 Electricity Construction JSC, approve the Production and Business Activity Plan 2024.</w:t>
      </w:r>
    </w:p>
    <w:tbl>
      <w:tblPr>
        <w:tblStyle w:val="a"/>
        <w:tblW w:w="9017" w:type="dxa"/>
        <w:tblLayout w:type="fixed"/>
        <w:tblLook w:val="0000" w:firstRow="0" w:lastRow="0" w:firstColumn="0" w:lastColumn="0" w:noHBand="0" w:noVBand="0"/>
      </w:tblPr>
      <w:tblGrid>
        <w:gridCol w:w="1957"/>
        <w:gridCol w:w="1049"/>
        <w:gridCol w:w="1041"/>
        <w:gridCol w:w="1178"/>
        <w:gridCol w:w="1178"/>
        <w:gridCol w:w="1564"/>
        <w:gridCol w:w="1050"/>
      </w:tblGrid>
      <w:tr w:rsidR="000D637E"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Targets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Unit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 xml:space="preserve">2022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2023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2024</w:t>
            </w:r>
          </w:p>
        </w:tc>
      </w:tr>
      <w:tr w:rsidR="000D637E"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0D6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0D6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Results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Plan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Results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%Results/Plan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Plan</w:t>
            </w:r>
          </w:p>
        </w:tc>
      </w:tr>
      <w:tr w:rsidR="000D637E"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Revenue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Billion VND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4.19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5.95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8</w:t>
            </w:r>
          </w:p>
        </w:tc>
      </w:tr>
      <w:tr w:rsidR="000D637E"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Profit after tax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Billion VND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-4.9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0.25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-3.5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-1400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0.25</w:t>
            </w:r>
          </w:p>
        </w:tc>
      </w:tr>
      <w:tr w:rsidR="000D637E"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 xml:space="preserve">Payable to State Budget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Billion VND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0D637E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0D637E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0D637E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0D637E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0D637E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0D637E"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Charter capital: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Billion VND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60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60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60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60</w:t>
            </w:r>
          </w:p>
        </w:tc>
      </w:tr>
      <w:tr w:rsidR="000D637E"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Average labor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Person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30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33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20</w:t>
            </w:r>
          </w:p>
        </w:tc>
      </w:tr>
      <w:tr w:rsidR="000D637E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Average income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Million/month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</w:t>
            </w:r>
          </w:p>
        </w:tc>
      </w:tr>
    </w:tbl>
    <w:p w:rsidR="000D637E" w:rsidRDefault="00715B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Approve the Audited Financial Statements 2023 of VNECO 1 Electricity Construction JSC.</w:t>
      </w:r>
    </w:p>
    <w:p w:rsidR="000D637E" w:rsidRDefault="00715B7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Approve the plan on profit distribution 2024.</w:t>
      </w:r>
    </w:p>
    <w:tbl>
      <w:tblPr>
        <w:tblStyle w:val="a0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6101"/>
        <w:gridCol w:w="2092"/>
      </w:tblGrid>
      <w:tr w:rsidR="000D637E">
        <w:tc>
          <w:tcPr>
            <w:tcW w:w="8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No.</w:t>
            </w:r>
          </w:p>
        </w:tc>
        <w:tc>
          <w:tcPr>
            <w:tcW w:w="610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Target</w:t>
            </w:r>
          </w:p>
        </w:tc>
        <w:tc>
          <w:tcPr>
            <w:tcW w:w="209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Amount (VND)</w:t>
            </w:r>
          </w:p>
        </w:tc>
      </w:tr>
      <w:tr w:rsidR="000D637E">
        <w:tc>
          <w:tcPr>
            <w:tcW w:w="8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</w:t>
            </w:r>
          </w:p>
        </w:tc>
        <w:tc>
          <w:tcPr>
            <w:tcW w:w="610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Accumulated profit as of Dec 31, 2022</w:t>
            </w:r>
          </w:p>
        </w:tc>
        <w:tc>
          <w:tcPr>
            <w:tcW w:w="209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-4,942,204,798</w:t>
            </w:r>
          </w:p>
        </w:tc>
      </w:tr>
      <w:tr w:rsidR="000D637E">
        <w:tc>
          <w:tcPr>
            <w:tcW w:w="8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</w:t>
            </w:r>
          </w:p>
        </w:tc>
        <w:tc>
          <w:tcPr>
            <w:tcW w:w="610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Profit in 2023</w:t>
            </w:r>
          </w:p>
        </w:tc>
        <w:tc>
          <w:tcPr>
            <w:tcW w:w="209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-3,665,092,037</w:t>
            </w:r>
          </w:p>
        </w:tc>
      </w:tr>
      <w:tr w:rsidR="000D637E">
        <w:tc>
          <w:tcPr>
            <w:tcW w:w="8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3</w:t>
            </w:r>
          </w:p>
        </w:tc>
        <w:tc>
          <w:tcPr>
            <w:tcW w:w="610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Appropriation for supplementing charter capital: %</w:t>
            </w:r>
          </w:p>
        </w:tc>
        <w:tc>
          <w:tcPr>
            <w:tcW w:w="209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0</w:t>
            </w:r>
          </w:p>
        </w:tc>
      </w:tr>
      <w:tr w:rsidR="000D637E">
        <w:tc>
          <w:tcPr>
            <w:tcW w:w="8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4</w:t>
            </w:r>
          </w:p>
        </w:tc>
        <w:tc>
          <w:tcPr>
            <w:tcW w:w="610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Allocation to financial reserve and business risk fund: 5%</w:t>
            </w:r>
          </w:p>
        </w:tc>
        <w:tc>
          <w:tcPr>
            <w:tcW w:w="209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0</w:t>
            </w:r>
          </w:p>
        </w:tc>
      </w:tr>
      <w:tr w:rsidR="000D637E">
        <w:tc>
          <w:tcPr>
            <w:tcW w:w="8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</w:t>
            </w:r>
          </w:p>
        </w:tc>
        <w:tc>
          <w:tcPr>
            <w:tcW w:w="610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Dividend payment to shareholders:</w:t>
            </w:r>
          </w:p>
        </w:tc>
        <w:tc>
          <w:tcPr>
            <w:tcW w:w="209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0</w:t>
            </w:r>
          </w:p>
        </w:tc>
      </w:tr>
      <w:tr w:rsidR="000D637E">
        <w:tc>
          <w:tcPr>
            <w:tcW w:w="8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6</w:t>
            </w:r>
          </w:p>
        </w:tc>
        <w:tc>
          <w:tcPr>
            <w:tcW w:w="610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Appropriation for bonus and welfare fund:</w:t>
            </w:r>
          </w:p>
        </w:tc>
        <w:tc>
          <w:tcPr>
            <w:tcW w:w="209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0</w:t>
            </w:r>
          </w:p>
        </w:tc>
      </w:tr>
      <w:tr w:rsidR="000D637E">
        <w:tc>
          <w:tcPr>
            <w:tcW w:w="8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</w:t>
            </w:r>
          </w:p>
        </w:tc>
        <w:tc>
          <w:tcPr>
            <w:tcW w:w="610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Retained profit transferred to 2024</w:t>
            </w:r>
          </w:p>
        </w:tc>
        <w:tc>
          <w:tcPr>
            <w:tcW w:w="209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0</w:t>
            </w:r>
          </w:p>
        </w:tc>
      </w:tr>
    </w:tbl>
    <w:p w:rsidR="000D637E" w:rsidRDefault="00715B7E" w:rsidP="00715B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Approve the Report 2023 of the Board of Directors and orientation 2024 of the Board of Directors of VNECO 1 Electricity Construction JSC.</w:t>
      </w:r>
    </w:p>
    <w:p w:rsidR="000D637E" w:rsidRDefault="00715B7E" w:rsidP="00715B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Approve the Report of the Supervisory Board in 2023</w:t>
      </w:r>
    </w:p>
    <w:p w:rsidR="000D637E" w:rsidRDefault="00715B7E" w:rsidP="00715B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Approve the authorization for the Board of Directors to select one</w:t>
      </w:r>
      <w:r>
        <w:rPr>
          <w:rFonts w:ascii="Arial" w:hAnsi="Arial"/>
          <w:color w:val="010000"/>
          <w:sz w:val="20"/>
        </w:rPr>
        <w:t xml:space="preserve"> of five audit companies to review the Financial Statements for the first 6 months and audit the Financial Statements for 2024, and at the </w:t>
      </w:r>
      <w:r>
        <w:rPr>
          <w:rFonts w:ascii="Arial" w:hAnsi="Arial"/>
          <w:color w:val="010000"/>
          <w:sz w:val="20"/>
        </w:rPr>
        <w:lastRenderedPageBreak/>
        <w:t>same time disclose information as prescribed:</w:t>
      </w:r>
    </w:p>
    <w:p w:rsidR="000D637E" w:rsidRDefault="00715B7E" w:rsidP="00715B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9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Ho Chi Minh City Informatics Accounting and Auditing Co., Ltd. - Hanoi Branch</w:t>
      </w:r>
    </w:p>
    <w:p w:rsidR="000D637E" w:rsidRDefault="00715B7E" w:rsidP="00715B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International Finance Auditing and Consulting Co., Ltd.</w:t>
      </w:r>
    </w:p>
    <w:p w:rsidR="000D637E" w:rsidRDefault="00715B7E" w:rsidP="00715B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Vietnam Auditing and Evaluation Co., Ltd.</w:t>
      </w:r>
    </w:p>
    <w:p w:rsidR="000D637E" w:rsidRDefault="00715B7E" w:rsidP="00715B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Ho Chi Minh City Informatics Accounting and Auditing Co., Ltd. - Da Nang Branch</w:t>
      </w:r>
    </w:p>
    <w:p w:rsidR="000D637E" w:rsidRDefault="00715B7E" w:rsidP="00715B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RSM Vietnam Auditing and Consulting Co., Ltd. - Central Region Branch</w:t>
      </w:r>
    </w:p>
    <w:p w:rsidR="000D637E" w:rsidRDefault="00715B7E" w:rsidP="00715B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Approve the Report on remuneration for members of the Board of Directors and the Supervisory Board of the Company in 2024.</w:t>
      </w:r>
    </w:p>
    <w:tbl>
      <w:tblPr>
        <w:tblStyle w:val="a1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4417"/>
        <w:gridCol w:w="3542"/>
      </w:tblGrid>
      <w:tr w:rsidR="000D637E">
        <w:tc>
          <w:tcPr>
            <w:tcW w:w="10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No.</w:t>
            </w:r>
          </w:p>
        </w:tc>
        <w:tc>
          <w:tcPr>
            <w:tcW w:w="441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Target</w:t>
            </w:r>
          </w:p>
        </w:tc>
        <w:tc>
          <w:tcPr>
            <w:tcW w:w="354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Amount</w:t>
            </w:r>
          </w:p>
        </w:tc>
      </w:tr>
      <w:tr w:rsidR="000D637E">
        <w:tc>
          <w:tcPr>
            <w:tcW w:w="10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</w:t>
            </w:r>
          </w:p>
        </w:tc>
        <w:tc>
          <w:tcPr>
            <w:tcW w:w="441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Chair of the Board of Directors</w:t>
            </w:r>
          </w:p>
        </w:tc>
        <w:tc>
          <w:tcPr>
            <w:tcW w:w="354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VND 3,000,000/month</w:t>
            </w:r>
          </w:p>
        </w:tc>
      </w:tr>
      <w:tr w:rsidR="000D637E">
        <w:tc>
          <w:tcPr>
            <w:tcW w:w="10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</w:t>
            </w:r>
          </w:p>
        </w:tc>
        <w:tc>
          <w:tcPr>
            <w:tcW w:w="441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Member of the Board of Directors</w:t>
            </w:r>
          </w:p>
        </w:tc>
        <w:tc>
          <w:tcPr>
            <w:tcW w:w="354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VND 1,500,000/month</w:t>
            </w:r>
          </w:p>
        </w:tc>
      </w:tr>
      <w:tr w:rsidR="000D637E">
        <w:tc>
          <w:tcPr>
            <w:tcW w:w="10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3</w:t>
            </w:r>
          </w:p>
        </w:tc>
        <w:tc>
          <w:tcPr>
            <w:tcW w:w="441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Chief of the Supervisory Board</w:t>
            </w:r>
          </w:p>
        </w:tc>
        <w:tc>
          <w:tcPr>
            <w:tcW w:w="354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VND 1,500,000/month</w:t>
            </w:r>
          </w:p>
        </w:tc>
      </w:tr>
      <w:tr w:rsidR="000D637E">
        <w:tc>
          <w:tcPr>
            <w:tcW w:w="10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4</w:t>
            </w:r>
          </w:p>
        </w:tc>
        <w:tc>
          <w:tcPr>
            <w:tcW w:w="441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Members of the Supervisory Board</w:t>
            </w:r>
          </w:p>
        </w:tc>
        <w:tc>
          <w:tcPr>
            <w:tcW w:w="354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637E" w:rsidRDefault="007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VND 1,000,000/month</w:t>
            </w:r>
          </w:p>
        </w:tc>
      </w:tr>
    </w:tbl>
    <w:p w:rsidR="000D637E" w:rsidRDefault="00715B7E" w:rsidP="00715B7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Article 2: </w:t>
      </w:r>
      <w:r>
        <w:rPr>
          <w:rFonts w:ascii="Arial" w:hAnsi="Arial"/>
          <w:color w:val="010000"/>
          <w:sz w:val="20"/>
        </w:rPr>
        <w:t>Implement the General Mandate:</w:t>
      </w:r>
    </w:p>
    <w:p w:rsidR="000D637E" w:rsidRDefault="00715B7E" w:rsidP="00715B7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The Annual General Meeting </w:t>
      </w:r>
      <w:r>
        <w:rPr>
          <w:rFonts w:ascii="Arial" w:hAnsi="Arial"/>
          <w:color w:val="010000"/>
          <w:sz w:val="20"/>
        </w:rPr>
        <w:t>2024 unanimously assigns the Board of Directors of the Company to be responsible for organizing the implementation of the General Mandate in under</w:t>
      </w:r>
      <w:r>
        <w:rPr>
          <w:rFonts w:ascii="Arial" w:hAnsi="Arial"/>
          <w:color w:val="010000"/>
          <w:sz w:val="20"/>
        </w:rPr>
        <w:t xml:space="preserve"> the Company's charter and applicable</w:t>
      </w:r>
      <w:r>
        <w:rPr>
          <w:rFonts w:ascii="Arial" w:hAnsi="Arial"/>
          <w:color w:val="010000"/>
          <w:sz w:val="20"/>
        </w:rPr>
        <w:t xml:space="preserve"> l</w:t>
      </w:r>
      <w:r>
        <w:rPr>
          <w:rFonts w:ascii="Arial" w:hAnsi="Arial"/>
          <w:color w:val="010000"/>
          <w:sz w:val="20"/>
        </w:rPr>
        <w:t>aws.</w:t>
      </w:r>
    </w:p>
    <w:p w:rsidR="000D637E" w:rsidRDefault="00715B7E" w:rsidP="00715B7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Article 3: This Board </w:t>
      </w:r>
      <w:r>
        <w:rPr>
          <w:rFonts w:ascii="Arial" w:hAnsi="Arial"/>
          <w:color w:val="010000"/>
          <w:sz w:val="20"/>
        </w:rPr>
        <w:t xml:space="preserve">Resolution takes effect from the date of signing. </w:t>
      </w:r>
      <w:r>
        <w:rPr>
          <w:rFonts w:ascii="Arial" w:hAnsi="Arial"/>
          <w:color w:val="010000"/>
          <w:sz w:val="20"/>
        </w:rPr>
        <w:t>All shareholders of VNECO 1 Electricity Construction JSC, members of the Board of Directors, members of the Supervisory Board, Executive Board</w:t>
      </w:r>
      <w:bookmarkStart w:id="1" w:name="_GoBack"/>
      <w:bookmarkEnd w:id="1"/>
      <w:r>
        <w:rPr>
          <w:rFonts w:ascii="Arial" w:hAnsi="Arial"/>
          <w:color w:val="010000"/>
          <w:sz w:val="20"/>
        </w:rPr>
        <w:t xml:space="preserve"> and all employees of VNECO 1 Electri</w:t>
      </w:r>
      <w:r>
        <w:rPr>
          <w:rFonts w:ascii="Arial" w:hAnsi="Arial"/>
          <w:color w:val="010000"/>
          <w:sz w:val="20"/>
        </w:rPr>
        <w:t>city Construction JSC are responsible for implementing this General Mandate.</w:t>
      </w:r>
    </w:p>
    <w:sectPr w:rsidR="000D637E">
      <w:pgSz w:w="11907" w:h="16839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E7F19"/>
    <w:multiLevelType w:val="multilevel"/>
    <w:tmpl w:val="5E568A8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E54F5"/>
    <w:multiLevelType w:val="multilevel"/>
    <w:tmpl w:val="09E03564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6A76B4E"/>
    <w:multiLevelType w:val="multilevel"/>
    <w:tmpl w:val="D7B6EA6E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7E"/>
    <w:rsid w:val="000D637E"/>
    <w:rsid w:val="0071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87D28"/>
  <w15:docId w15:val="{6CD4AED4-3252-48DF-9ACE-7BCF6425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ind w:firstLine="25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u10">
    <w:name w:val="Tiêu đề #1"/>
    <w:basedOn w:val="Normal"/>
    <w:link w:val="Tiu1"/>
    <w:pPr>
      <w:ind w:left="229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Vnbnnidung0">
    <w:name w:val="Văn bản nội dung"/>
    <w:basedOn w:val="Normal"/>
    <w:link w:val="Vnbnnidung"/>
    <w:pPr>
      <w:spacing w:line="377" w:lineRule="auto"/>
      <w:ind w:firstLine="3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pPr>
      <w:spacing w:line="377" w:lineRule="auto"/>
      <w:ind w:firstLine="3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hthchbng0">
    <w:name w:val="Chú thích bảng"/>
    <w:basedOn w:val="Normal"/>
    <w:link w:val="Chthchbng"/>
    <w:rPr>
      <w:rFonts w:ascii="Times New Roman" w:eastAsia="Times New Roman" w:hAnsi="Times New Roman" w:cs="Times New Roman"/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42KLzLWfUgWNA35zAQ3wuVtObg==">CgMxLjAyCGguZ2pkZ3hzOAByITFRaVFVMGlQNi1RTFpQZnZvRk5aR1hrTjN2b0NmcWh2ZA==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2024-05-06T04:24:00Z</dcterms:created>
  <dcterms:modified xsi:type="dcterms:W3CDTF">2024-05-06T04:24:00Z</dcterms:modified>
</cp:coreProperties>
</file>