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3215" w:rsidRDefault="003A194E">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VHH: Annual General Mandate 2024</w:t>
      </w:r>
    </w:p>
    <w:p w14:paraId="00000002" w14:textId="77777777" w:rsidR="00553215" w:rsidRDefault="003A19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April 25, 2024, Thanh Dat Investment House Trading JSC announced General Mandate No. 23/NQ/CT-DHDCD as follows:</w:t>
      </w:r>
    </w:p>
    <w:p w14:paraId="00000003" w14:textId="77777777" w:rsidR="00553215" w:rsidRDefault="003A19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1: </w:t>
      </w:r>
      <w:r>
        <w:rPr>
          <w:rFonts w:ascii="Arial" w:hAnsi="Arial"/>
          <w:color w:val="010000"/>
          <w:sz w:val="20"/>
        </w:rPr>
        <w:t>Approve the contents of the reports of the Board of Management of the Company on management and production and business results in</w:t>
      </w:r>
      <w:r>
        <w:rPr>
          <w:rFonts w:ascii="Arial" w:hAnsi="Arial"/>
          <w:color w:val="010000"/>
          <w:sz w:val="20"/>
        </w:rPr>
        <w:t xml:space="preserve"> 2023; operation orientation for 2024 with some key targets as follows:</w:t>
      </w:r>
    </w:p>
    <w:p w14:paraId="00000004" w14:textId="77777777" w:rsidR="00553215" w:rsidRDefault="003A19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Production and business results in 2023:</w:t>
      </w:r>
    </w:p>
    <w:p w14:paraId="00000005" w14:textId="77777777" w:rsidR="00553215" w:rsidRDefault="003A194E">
      <w:pPr>
        <w:numPr>
          <w:ilvl w:val="0"/>
          <w:numId w:val="4"/>
        </w:numPr>
        <w:pBdr>
          <w:top w:val="nil"/>
          <w:left w:val="nil"/>
          <w:bottom w:val="nil"/>
          <w:right w:val="nil"/>
          <w:between w:val="nil"/>
        </w:pBdr>
        <w:tabs>
          <w:tab w:val="left" w:pos="432"/>
          <w:tab w:val="left" w:pos="660"/>
          <w:tab w:val="left" w:pos="3931"/>
        </w:tabs>
        <w:spacing w:after="120" w:line="360" w:lineRule="auto"/>
        <w:rPr>
          <w:rFonts w:ascii="Arial" w:eastAsia="Arial" w:hAnsi="Arial" w:cs="Arial"/>
          <w:color w:val="010000"/>
          <w:sz w:val="20"/>
          <w:szCs w:val="20"/>
        </w:rPr>
      </w:pPr>
      <w:r>
        <w:rPr>
          <w:rFonts w:ascii="Arial" w:hAnsi="Arial"/>
          <w:color w:val="010000"/>
          <w:sz w:val="20"/>
        </w:rPr>
        <w:t>Net revenue: VND 50,441 million; in which:</w:t>
      </w:r>
    </w:p>
    <w:p w14:paraId="00000006" w14:textId="77777777" w:rsidR="00553215" w:rsidRDefault="003A194E">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Hotel and Restaurant revenue: VND 1,157 million</w:t>
      </w:r>
    </w:p>
    <w:p w14:paraId="00000007" w14:textId="77777777" w:rsidR="00553215" w:rsidRDefault="003A194E">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Revenue from industrial production and construction </w:t>
      </w:r>
      <w:r>
        <w:rPr>
          <w:rFonts w:ascii="Arial" w:hAnsi="Arial"/>
          <w:color w:val="010000"/>
          <w:sz w:val="20"/>
        </w:rPr>
        <w:t>materials: VND 49,284 million</w:t>
      </w:r>
    </w:p>
    <w:p w14:paraId="00000008" w14:textId="77777777" w:rsidR="00553215" w:rsidRDefault="003A194E">
      <w:pPr>
        <w:numPr>
          <w:ilvl w:val="0"/>
          <w:numId w:val="4"/>
        </w:numPr>
        <w:pBdr>
          <w:top w:val="nil"/>
          <w:left w:val="nil"/>
          <w:bottom w:val="nil"/>
          <w:right w:val="nil"/>
          <w:between w:val="nil"/>
        </w:pBdr>
        <w:tabs>
          <w:tab w:val="left" w:pos="432"/>
          <w:tab w:val="left" w:pos="660"/>
          <w:tab w:val="left" w:pos="3931"/>
        </w:tabs>
        <w:spacing w:after="120" w:line="360" w:lineRule="auto"/>
        <w:rPr>
          <w:rFonts w:ascii="Arial" w:eastAsia="Arial" w:hAnsi="Arial" w:cs="Arial"/>
          <w:color w:val="010000"/>
          <w:sz w:val="20"/>
          <w:szCs w:val="20"/>
        </w:rPr>
      </w:pPr>
      <w:r>
        <w:rPr>
          <w:rFonts w:ascii="Arial" w:hAnsi="Arial"/>
          <w:color w:val="010000"/>
          <w:sz w:val="20"/>
        </w:rPr>
        <w:t>Profit after tax: VND -5,917 million</w:t>
      </w:r>
    </w:p>
    <w:p w14:paraId="00000009" w14:textId="77777777" w:rsidR="00553215" w:rsidRDefault="003A194E">
      <w:pPr>
        <w:pBdr>
          <w:top w:val="nil"/>
          <w:left w:val="nil"/>
          <w:bottom w:val="nil"/>
          <w:right w:val="nil"/>
          <w:between w:val="nil"/>
        </w:pBdr>
        <w:tabs>
          <w:tab w:val="left" w:pos="432"/>
          <w:tab w:val="left" w:pos="660"/>
          <w:tab w:val="left" w:pos="3931"/>
        </w:tabs>
        <w:spacing w:after="120" w:line="360" w:lineRule="auto"/>
        <w:rPr>
          <w:rFonts w:ascii="Arial" w:eastAsia="Arial" w:hAnsi="Arial" w:cs="Arial"/>
          <w:color w:val="010000"/>
          <w:sz w:val="20"/>
          <w:szCs w:val="20"/>
        </w:rPr>
      </w:pPr>
      <w:r>
        <w:rPr>
          <w:rFonts w:ascii="Arial" w:hAnsi="Arial"/>
          <w:color w:val="010000"/>
          <w:sz w:val="20"/>
        </w:rPr>
        <w:t xml:space="preserve">Production and business plan for 2024: </w:t>
      </w:r>
    </w:p>
    <w:p w14:paraId="0000000A" w14:textId="77777777" w:rsidR="00553215" w:rsidRDefault="003A194E">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Production and business value reaching revenue: VND 55 billion In which:</w:t>
      </w:r>
    </w:p>
    <w:p w14:paraId="0000000B" w14:textId="77777777" w:rsidR="00553215" w:rsidRDefault="003A194E">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Fresh concrete production reaching revenue: VND 53 billion</w:t>
      </w:r>
    </w:p>
    <w:p w14:paraId="0000000C" w14:textId="77777777" w:rsidR="00553215" w:rsidRDefault="003A194E">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Hotel business reaching revenue: VND 2 billion</w:t>
      </w:r>
    </w:p>
    <w:p w14:paraId="0000000D" w14:textId="77777777" w:rsidR="00553215" w:rsidRDefault="003A19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2: </w:t>
      </w:r>
      <w:r>
        <w:rPr>
          <w:rFonts w:ascii="Arial" w:hAnsi="Arial"/>
          <w:color w:val="010000"/>
          <w:sz w:val="20"/>
        </w:rPr>
        <w:t>Approve the contents of the Report on the activities of the Board of Directors in 2023 and the activity plan for 2024.</w:t>
      </w:r>
    </w:p>
    <w:p w14:paraId="0000000E" w14:textId="77777777" w:rsidR="00553215" w:rsidRDefault="003A19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3. Approve the audited Financial Statements for 2023 and the Report on the activities of the Supervisory Board on the results of </w:t>
      </w:r>
      <w:r>
        <w:rPr>
          <w:rFonts w:ascii="Arial" w:hAnsi="Arial"/>
          <w:color w:val="010000"/>
          <w:sz w:val="20"/>
        </w:rPr>
        <w:t xml:space="preserve">supervision of production and business activities in 2023. Article 4. </w:t>
      </w:r>
      <w:r>
        <w:rPr>
          <w:rFonts w:ascii="Arial" w:hAnsi="Arial"/>
          <w:color w:val="010000"/>
          <w:sz w:val="20"/>
        </w:rPr>
        <w:t>Approve the contents of the Proposals of the Board of Directors and the Supervisory Board of the Company on the expected dividend rate plan for 2024; The plan to select the audit company</w:t>
      </w:r>
      <w:r>
        <w:rPr>
          <w:rFonts w:ascii="Arial" w:hAnsi="Arial"/>
          <w:color w:val="010000"/>
          <w:sz w:val="20"/>
        </w:rPr>
        <w:t xml:space="preserve"> for the Financial Statements of the 2024 operating year; The plan for remuneration and operating expenses in 2024; The plan to increase charter capital; The plan to convert Thanh Dat Concrete &amp; Mining Branch into a Joint Stock Company; The plan to use ass</w:t>
      </w:r>
      <w:r>
        <w:rPr>
          <w:rFonts w:ascii="Arial" w:hAnsi="Arial"/>
          <w:color w:val="010000"/>
          <w:sz w:val="20"/>
        </w:rPr>
        <w:t>ets of Thanh Dat Concrete &amp; Mining Branch as collateral, specifically:</w:t>
      </w:r>
    </w:p>
    <w:p w14:paraId="0000000F" w14:textId="77777777" w:rsidR="00553215" w:rsidRDefault="003A194E">
      <w:pPr>
        <w:numPr>
          <w:ilvl w:val="0"/>
          <w:numId w:val="5"/>
        </w:numPr>
        <w:pBdr>
          <w:top w:val="nil"/>
          <w:left w:val="nil"/>
          <w:bottom w:val="nil"/>
          <w:right w:val="nil"/>
          <w:between w:val="nil"/>
        </w:pBdr>
        <w:tabs>
          <w:tab w:val="left" w:pos="333"/>
          <w:tab w:val="left" w:pos="432"/>
        </w:tabs>
        <w:spacing w:after="120" w:line="360" w:lineRule="auto"/>
        <w:rPr>
          <w:rFonts w:ascii="Arial" w:eastAsia="Arial" w:hAnsi="Arial" w:cs="Arial"/>
          <w:color w:val="010000"/>
          <w:sz w:val="20"/>
          <w:szCs w:val="20"/>
        </w:rPr>
      </w:pPr>
      <w:r>
        <w:rPr>
          <w:rFonts w:ascii="Arial" w:hAnsi="Arial"/>
          <w:color w:val="010000"/>
          <w:sz w:val="20"/>
        </w:rPr>
        <w:t>Approve the expected dividend rate plan for the 2024 operating year:  0%</w:t>
      </w:r>
    </w:p>
    <w:p w14:paraId="00000010" w14:textId="77777777" w:rsidR="00553215" w:rsidRDefault="003A194E">
      <w:pPr>
        <w:numPr>
          <w:ilvl w:val="0"/>
          <w:numId w:val="5"/>
        </w:numPr>
        <w:pBdr>
          <w:top w:val="nil"/>
          <w:left w:val="nil"/>
          <w:bottom w:val="nil"/>
          <w:right w:val="nil"/>
          <w:between w:val="nil"/>
        </w:pBdr>
        <w:tabs>
          <w:tab w:val="left" w:pos="333"/>
          <w:tab w:val="left" w:pos="432"/>
        </w:tabs>
        <w:spacing w:after="120" w:line="360" w:lineRule="auto"/>
        <w:rPr>
          <w:rFonts w:ascii="Arial" w:eastAsia="Arial" w:hAnsi="Arial" w:cs="Arial"/>
          <w:color w:val="010000"/>
          <w:sz w:val="20"/>
          <w:szCs w:val="20"/>
        </w:rPr>
      </w:pPr>
      <w:r>
        <w:rPr>
          <w:rFonts w:ascii="Arial" w:hAnsi="Arial"/>
          <w:color w:val="010000"/>
          <w:sz w:val="20"/>
        </w:rPr>
        <w:t>Selecting AAC Auditing and Accounting Co., Ltd. to audit the Financial Statements for the 2024 operating year.</w:t>
      </w:r>
      <w:r>
        <w:rPr>
          <w:rFonts w:ascii="Arial" w:hAnsi="Arial"/>
          <w:color w:val="010000"/>
          <w:sz w:val="20"/>
        </w:rPr>
        <w:t xml:space="preserve"> I</w:t>
      </w:r>
      <w:r>
        <w:rPr>
          <w:rFonts w:ascii="Arial" w:hAnsi="Arial"/>
          <w:color w:val="010000"/>
          <w:sz w:val="20"/>
        </w:rPr>
        <w:t>n case of necessary changes, the General Meeting of Shareholders authorizes the Board of Directors of the Company to select a new audit company in accordance with regulations.</w:t>
      </w:r>
    </w:p>
    <w:p w14:paraId="00000011" w14:textId="77777777" w:rsidR="00553215" w:rsidRDefault="003A194E">
      <w:pPr>
        <w:numPr>
          <w:ilvl w:val="0"/>
          <w:numId w:val="5"/>
        </w:numPr>
        <w:pBdr>
          <w:top w:val="nil"/>
          <w:left w:val="nil"/>
          <w:bottom w:val="nil"/>
          <w:right w:val="nil"/>
          <w:between w:val="nil"/>
        </w:pBdr>
        <w:tabs>
          <w:tab w:val="left" w:pos="333"/>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settlement of remuneration and operating expenses in 2023, the plan </w:t>
      </w:r>
      <w:r>
        <w:rPr>
          <w:rFonts w:ascii="Arial" w:hAnsi="Arial"/>
          <w:color w:val="010000"/>
          <w:sz w:val="20"/>
        </w:rPr>
        <w:t>for remuneration and operating expenses in 2024 of the Board of Directors and the Supervisory Board of the Company.</w:t>
      </w:r>
    </w:p>
    <w:p w14:paraId="00000012" w14:textId="77777777" w:rsidR="00553215" w:rsidRDefault="003A194E">
      <w:pPr>
        <w:numPr>
          <w:ilvl w:val="0"/>
          <w:numId w:val="5"/>
        </w:numPr>
        <w:pBdr>
          <w:top w:val="nil"/>
          <w:left w:val="nil"/>
          <w:bottom w:val="nil"/>
          <w:right w:val="nil"/>
          <w:between w:val="nil"/>
        </w:pBdr>
        <w:tabs>
          <w:tab w:val="left" w:pos="333"/>
          <w:tab w:val="left" w:pos="432"/>
        </w:tabs>
        <w:spacing w:after="120" w:line="360" w:lineRule="auto"/>
        <w:rPr>
          <w:rFonts w:ascii="Arial" w:eastAsia="Arial" w:hAnsi="Arial" w:cs="Arial"/>
          <w:color w:val="010000"/>
          <w:sz w:val="20"/>
          <w:szCs w:val="20"/>
        </w:rPr>
      </w:pPr>
      <w:r>
        <w:rPr>
          <w:rFonts w:ascii="Arial" w:hAnsi="Arial"/>
          <w:color w:val="010000"/>
          <w:sz w:val="20"/>
        </w:rPr>
        <w:t>Approve the policy to increase the charter capital of Thanh Dat Investment House Trading JSC;</w:t>
      </w:r>
    </w:p>
    <w:p w14:paraId="00000013" w14:textId="77777777" w:rsidR="00553215" w:rsidRDefault="003A194E">
      <w:pPr>
        <w:numPr>
          <w:ilvl w:val="0"/>
          <w:numId w:val="5"/>
        </w:numPr>
        <w:pBdr>
          <w:top w:val="nil"/>
          <w:left w:val="nil"/>
          <w:bottom w:val="nil"/>
          <w:right w:val="nil"/>
          <w:between w:val="nil"/>
        </w:pBdr>
        <w:tabs>
          <w:tab w:val="left" w:pos="333"/>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Approve the policy to convert Thanh Dat Concre</w:t>
      </w:r>
      <w:r>
        <w:rPr>
          <w:rFonts w:ascii="Arial" w:hAnsi="Arial"/>
          <w:color w:val="010000"/>
          <w:sz w:val="20"/>
        </w:rPr>
        <w:t>te &amp; Mining Branch into a Joint Stock Company;</w:t>
      </w:r>
    </w:p>
    <w:p w14:paraId="00000014" w14:textId="77777777" w:rsidR="00553215" w:rsidRDefault="003A194E">
      <w:pPr>
        <w:numPr>
          <w:ilvl w:val="0"/>
          <w:numId w:val="5"/>
        </w:numPr>
        <w:pBdr>
          <w:top w:val="nil"/>
          <w:left w:val="nil"/>
          <w:bottom w:val="nil"/>
          <w:right w:val="nil"/>
          <w:between w:val="nil"/>
        </w:pBdr>
        <w:tabs>
          <w:tab w:val="left" w:pos="333"/>
          <w:tab w:val="left" w:pos="432"/>
        </w:tabs>
        <w:spacing w:after="120" w:line="360" w:lineRule="auto"/>
        <w:rPr>
          <w:rFonts w:ascii="Arial" w:eastAsia="Arial" w:hAnsi="Arial" w:cs="Arial"/>
          <w:color w:val="010000"/>
          <w:sz w:val="20"/>
          <w:szCs w:val="20"/>
        </w:rPr>
      </w:pPr>
      <w:r>
        <w:rPr>
          <w:rFonts w:ascii="Arial" w:hAnsi="Arial"/>
          <w:color w:val="010000"/>
          <w:sz w:val="20"/>
        </w:rPr>
        <w:t>Approve the policy to use assets of Thanh Dat Concrete &amp; Mining Branch as collateral for loans to serve production and business activities.</w:t>
      </w:r>
    </w:p>
    <w:p w14:paraId="00000015" w14:textId="77777777" w:rsidR="00553215" w:rsidRDefault="003A19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5: Implementation and organization:</w:t>
      </w:r>
    </w:p>
    <w:p w14:paraId="00000016" w14:textId="77777777" w:rsidR="00553215" w:rsidRDefault="003A19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w:t>
      </w:r>
      <w:r>
        <w:rPr>
          <w:rFonts w:ascii="Arial" w:hAnsi="Arial"/>
          <w:color w:val="010000"/>
          <w:sz w:val="20"/>
        </w:rPr>
        <w:t>areholders assigns the Board of Directors, the Supervisory Board, and the General Manager of the Company to be responsible for well implementing the contents of the General Mandate 2024 and continuing to solve the outstanding issues approved at the meeting</w:t>
      </w:r>
      <w:r>
        <w:rPr>
          <w:rFonts w:ascii="Arial" w:hAnsi="Arial"/>
          <w:color w:val="010000"/>
          <w:sz w:val="20"/>
        </w:rPr>
        <w:t>s in 2023 of the Company.</w:t>
      </w:r>
    </w:p>
    <w:p w14:paraId="00000017" w14:textId="160362D2" w:rsidR="00553215" w:rsidRDefault="003A19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This General Mandate was approved by the Annual General Meeting of Shareholders in 2024 of Thanh Dat Investment House Trading JSC held on April 25, 2024 </w:t>
      </w:r>
      <w:r>
        <w:rPr>
          <w:rFonts w:ascii="Arial" w:hAnsi="Arial"/>
          <w:color w:val="010000"/>
          <w:sz w:val="20"/>
        </w:rPr>
        <w:t>and unanimously assigned the Chair of the Meeting to sign and issue.</w:t>
      </w:r>
    </w:p>
    <w:p w14:paraId="00000018" w14:textId="77777777" w:rsidR="00553215" w:rsidRDefault="00553215">
      <w:pPr>
        <w:pBdr>
          <w:top w:val="nil"/>
          <w:left w:val="nil"/>
          <w:bottom w:val="nil"/>
          <w:right w:val="nil"/>
          <w:between w:val="nil"/>
        </w:pBdr>
        <w:tabs>
          <w:tab w:val="left" w:pos="432"/>
          <w:tab w:val="left" w:pos="973"/>
        </w:tabs>
        <w:spacing w:after="120" w:line="360" w:lineRule="auto"/>
        <w:rPr>
          <w:rFonts w:ascii="Arial" w:eastAsia="Arial" w:hAnsi="Arial" w:cs="Arial"/>
          <w:color w:val="010000"/>
          <w:sz w:val="20"/>
          <w:szCs w:val="20"/>
        </w:rPr>
      </w:pPr>
    </w:p>
    <w:sectPr w:rsidR="00553215">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6127"/>
    <w:multiLevelType w:val="multilevel"/>
    <w:tmpl w:val="B1A24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015273"/>
    <w:multiLevelType w:val="multilevel"/>
    <w:tmpl w:val="B96E4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A53E50"/>
    <w:multiLevelType w:val="multilevel"/>
    <w:tmpl w:val="A05096E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70B7640"/>
    <w:multiLevelType w:val="multilevel"/>
    <w:tmpl w:val="757EED6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17B4D88"/>
    <w:multiLevelType w:val="multilevel"/>
    <w:tmpl w:val="2C425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215"/>
    <w:rsid w:val="003A194E"/>
    <w:rsid w:val="00553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91A0"/>
  <w15:docId w15:val="{B1A17176-BB4A-4801-A862-58BC1B76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317" w:lineRule="auto"/>
    </w:pPr>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Times New Roman" w:eastAsia="Times New Roman" w:hAnsi="Times New Roman" w:cs="Times New Roman"/>
      <w:i/>
      <w:iCs/>
      <w:sz w:val="22"/>
      <w:szCs w:val="22"/>
    </w:rPr>
  </w:style>
  <w:style w:type="paragraph" w:customStyle="1" w:styleId="Tiu10">
    <w:name w:val="Tiêu đề #1"/>
    <w:basedOn w:val="Normal"/>
    <w:link w:val="Tiu1"/>
    <w:pPr>
      <w:spacing w:line="317" w:lineRule="auto"/>
      <w:ind w:firstLine="660"/>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XrCvrj74qdZiuFgdMC9rT9u5fQ==">CgMxLjA4AHIhMWN4UG5BNkQ2ZG5PanM3MnowNmNkZEM4RW1zLXd6dGx3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2</cp:revision>
  <dcterms:created xsi:type="dcterms:W3CDTF">2024-05-04T04:44:00Z</dcterms:created>
  <dcterms:modified xsi:type="dcterms:W3CDTF">2024-05-06T01:54:00Z</dcterms:modified>
</cp:coreProperties>
</file>