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FBE91" w14:textId="77777777" w:rsidR="002833CD" w:rsidRDefault="00234A60" w:rsidP="0057046D">
      <w:pPr>
        <w:pBdr>
          <w:top w:val="nil"/>
          <w:left w:val="nil"/>
          <w:bottom w:val="nil"/>
          <w:right w:val="nil"/>
          <w:between w:val="nil"/>
        </w:pBdr>
        <w:tabs>
          <w:tab w:val="left" w:pos="424"/>
        </w:tabs>
        <w:spacing w:after="120" w:line="360" w:lineRule="auto"/>
        <w:jc w:val="both"/>
        <w:rPr>
          <w:rFonts w:ascii="Arial" w:eastAsia="Arial" w:hAnsi="Arial" w:cs="Arial"/>
          <w:b/>
          <w:color w:val="010000"/>
          <w:sz w:val="20"/>
          <w:szCs w:val="20"/>
        </w:rPr>
      </w:pPr>
      <w:bookmarkStart w:id="0" w:name="_heading=h.gjdgxs"/>
      <w:bookmarkEnd w:id="0"/>
      <w:r>
        <w:rPr>
          <w:rFonts w:ascii="Arial" w:hAnsi="Arial"/>
          <w:b/>
          <w:color w:val="010000"/>
          <w:sz w:val="20"/>
        </w:rPr>
        <w:t>VTC: Annual General Mandate 2024</w:t>
      </w:r>
    </w:p>
    <w:p w14:paraId="405E8ED4" w14:textId="77777777" w:rsidR="002833CD" w:rsidRDefault="00234A60" w:rsidP="0057046D">
      <w:pPr>
        <w:pBdr>
          <w:top w:val="nil"/>
          <w:left w:val="nil"/>
          <w:bottom w:val="nil"/>
          <w:right w:val="nil"/>
          <w:between w:val="nil"/>
        </w:pBdr>
        <w:tabs>
          <w:tab w:val="left" w:pos="424"/>
        </w:tabs>
        <w:spacing w:after="120" w:line="360" w:lineRule="auto"/>
        <w:jc w:val="both"/>
        <w:rPr>
          <w:rFonts w:ascii="Arial" w:eastAsia="Arial" w:hAnsi="Arial" w:cs="Arial"/>
          <w:color w:val="010000"/>
          <w:sz w:val="20"/>
          <w:szCs w:val="20"/>
        </w:rPr>
      </w:pPr>
      <w:r>
        <w:rPr>
          <w:rFonts w:ascii="Arial" w:hAnsi="Arial"/>
          <w:color w:val="010000"/>
          <w:sz w:val="20"/>
        </w:rPr>
        <w:t>On April 25, 2024, VTC Telecommunications JSC announced General Mandate No. 01/2024/NQ - GMS as follows:</w:t>
      </w:r>
    </w:p>
    <w:p w14:paraId="069A1FCE" w14:textId="77777777" w:rsidR="002833CD" w:rsidRDefault="00234A60" w:rsidP="0057046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1. The General Meeting unanimously approved the Financial Statements 2023 audited by Vietnam Valuation and Audit Co., Ltd.</w:t>
      </w:r>
    </w:p>
    <w:p w14:paraId="61C2CB92" w14:textId="77777777" w:rsidR="002833CD" w:rsidRDefault="00234A60" w:rsidP="0057046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2. The General Meeting unanimously approved the Report on the activities of the Board of Directors in 2023 and the orientation for activities in 2024.</w:t>
      </w:r>
    </w:p>
    <w:p w14:paraId="0908808D" w14:textId="77777777" w:rsidR="002833CD" w:rsidRDefault="00234A60" w:rsidP="0057046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3. The General Meeting unanimously approved the Report on the activities of the Supervisory Board in 2023.</w:t>
      </w:r>
    </w:p>
    <w:p w14:paraId="263852E7" w14:textId="77777777" w:rsidR="002833CD" w:rsidRDefault="00234A60" w:rsidP="0057046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4. The General Meeting unanimously approved the Summary Report on production and business activities in 2023; Remuneration of the Board of Directors and Supervisory Board in 2023 as follows:</w:t>
      </w:r>
    </w:p>
    <w:p w14:paraId="59D12BCD" w14:textId="77777777" w:rsidR="002833CD" w:rsidRDefault="00234A60" w:rsidP="0057046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4.1 Production and business results in 2023</w:t>
      </w:r>
    </w:p>
    <w:p w14:paraId="488A470A"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Unit: Million VND</w:t>
      </w:r>
    </w:p>
    <w:tbl>
      <w:tblPr>
        <w:tblStyle w:val="a"/>
        <w:tblW w:w="9016" w:type="dxa"/>
        <w:tblLayout w:type="fixed"/>
        <w:tblLook w:val="0400" w:firstRow="0" w:lastRow="0" w:firstColumn="0" w:lastColumn="0" w:noHBand="0" w:noVBand="1"/>
      </w:tblPr>
      <w:tblGrid>
        <w:gridCol w:w="2376"/>
        <w:gridCol w:w="1331"/>
        <w:gridCol w:w="1324"/>
        <w:gridCol w:w="1325"/>
        <w:gridCol w:w="624"/>
        <w:gridCol w:w="714"/>
        <w:gridCol w:w="1322"/>
      </w:tblGrid>
      <w:tr w:rsidR="002833CD" w14:paraId="5D01DC03" w14:textId="77777777">
        <w:tc>
          <w:tcPr>
            <w:tcW w:w="2377" w:type="dxa"/>
            <w:tcBorders>
              <w:top w:val="single" w:sz="4" w:space="0" w:color="000000"/>
              <w:left w:val="single" w:sz="4" w:space="0" w:color="000000"/>
            </w:tcBorders>
            <w:shd w:val="clear" w:color="auto" w:fill="auto"/>
            <w:tcMar>
              <w:top w:w="0" w:type="dxa"/>
              <w:bottom w:w="0" w:type="dxa"/>
            </w:tcMar>
            <w:vAlign w:val="center"/>
          </w:tcPr>
          <w:p w14:paraId="7BD4363A"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Target</w:t>
            </w:r>
          </w:p>
        </w:tc>
        <w:tc>
          <w:tcPr>
            <w:tcW w:w="1331" w:type="dxa"/>
            <w:tcBorders>
              <w:top w:val="single" w:sz="4" w:space="0" w:color="000000"/>
              <w:left w:val="single" w:sz="4" w:space="0" w:color="000000"/>
            </w:tcBorders>
            <w:shd w:val="clear" w:color="auto" w:fill="auto"/>
            <w:tcMar>
              <w:top w:w="0" w:type="dxa"/>
              <w:bottom w:w="0" w:type="dxa"/>
            </w:tcMar>
            <w:vAlign w:val="center"/>
          </w:tcPr>
          <w:p w14:paraId="173148FB"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Results 2022</w:t>
            </w:r>
          </w:p>
        </w:tc>
        <w:tc>
          <w:tcPr>
            <w:tcW w:w="1324" w:type="dxa"/>
            <w:tcBorders>
              <w:top w:val="single" w:sz="4" w:space="0" w:color="000000"/>
              <w:left w:val="single" w:sz="4" w:space="0" w:color="000000"/>
            </w:tcBorders>
            <w:shd w:val="clear" w:color="auto" w:fill="auto"/>
            <w:tcMar>
              <w:top w:w="0" w:type="dxa"/>
              <w:bottom w:w="0" w:type="dxa"/>
            </w:tcMar>
            <w:vAlign w:val="center"/>
          </w:tcPr>
          <w:p w14:paraId="58C98D0A"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Plan 2023 </w:t>
            </w:r>
          </w:p>
        </w:tc>
        <w:tc>
          <w:tcPr>
            <w:tcW w:w="1325" w:type="dxa"/>
            <w:tcBorders>
              <w:top w:val="single" w:sz="4" w:space="0" w:color="000000"/>
              <w:left w:val="single" w:sz="4" w:space="0" w:color="000000"/>
            </w:tcBorders>
            <w:shd w:val="clear" w:color="auto" w:fill="auto"/>
            <w:tcMar>
              <w:top w:w="0" w:type="dxa"/>
              <w:bottom w:w="0" w:type="dxa"/>
            </w:tcMar>
            <w:vAlign w:val="center"/>
          </w:tcPr>
          <w:p w14:paraId="473499E4"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Result</w:t>
            </w:r>
          </w:p>
          <w:p w14:paraId="480090D3"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2023</w:t>
            </w:r>
          </w:p>
        </w:tc>
        <w:tc>
          <w:tcPr>
            <w:tcW w:w="1338" w:type="dxa"/>
            <w:gridSpan w:val="2"/>
            <w:tcBorders>
              <w:top w:val="single" w:sz="4" w:space="0" w:color="000000"/>
              <w:left w:val="single" w:sz="4" w:space="0" w:color="000000"/>
            </w:tcBorders>
            <w:shd w:val="clear" w:color="auto" w:fill="auto"/>
            <w:tcMar>
              <w:top w:w="0" w:type="dxa"/>
              <w:bottom w:w="0" w:type="dxa"/>
            </w:tcMar>
            <w:vAlign w:val="center"/>
          </w:tcPr>
          <w:p w14:paraId="58C0D60D"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Compared to Plan 2023 </w:t>
            </w:r>
          </w:p>
        </w:tc>
        <w:tc>
          <w:tcPr>
            <w:tcW w:w="1322"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78E0A409"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Compared to Result 2022</w:t>
            </w:r>
          </w:p>
        </w:tc>
      </w:tr>
      <w:tr w:rsidR="002833CD" w14:paraId="362F900C" w14:textId="77777777">
        <w:tc>
          <w:tcPr>
            <w:tcW w:w="2377" w:type="dxa"/>
            <w:tcBorders>
              <w:top w:val="single" w:sz="4" w:space="0" w:color="000000"/>
              <w:left w:val="single" w:sz="4" w:space="0" w:color="000000"/>
            </w:tcBorders>
            <w:shd w:val="clear" w:color="auto" w:fill="auto"/>
            <w:tcMar>
              <w:top w:w="0" w:type="dxa"/>
              <w:bottom w:w="0" w:type="dxa"/>
            </w:tcMar>
            <w:vAlign w:val="center"/>
          </w:tcPr>
          <w:p w14:paraId="2B624AEA"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Consolidated revenue</w:t>
            </w:r>
          </w:p>
        </w:tc>
        <w:tc>
          <w:tcPr>
            <w:tcW w:w="1331" w:type="dxa"/>
            <w:tcBorders>
              <w:top w:val="single" w:sz="4" w:space="0" w:color="000000"/>
              <w:left w:val="single" w:sz="4" w:space="0" w:color="000000"/>
            </w:tcBorders>
            <w:shd w:val="clear" w:color="auto" w:fill="auto"/>
            <w:tcMar>
              <w:top w:w="0" w:type="dxa"/>
              <w:bottom w:w="0" w:type="dxa"/>
            </w:tcMar>
            <w:vAlign w:val="center"/>
          </w:tcPr>
          <w:p w14:paraId="74E0B517"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261,286</w:t>
            </w:r>
          </w:p>
        </w:tc>
        <w:tc>
          <w:tcPr>
            <w:tcW w:w="1324" w:type="dxa"/>
            <w:tcBorders>
              <w:top w:val="single" w:sz="4" w:space="0" w:color="000000"/>
              <w:left w:val="single" w:sz="4" w:space="0" w:color="000000"/>
            </w:tcBorders>
            <w:shd w:val="clear" w:color="auto" w:fill="auto"/>
            <w:tcMar>
              <w:top w:w="0" w:type="dxa"/>
              <w:bottom w:w="0" w:type="dxa"/>
            </w:tcMar>
            <w:vAlign w:val="center"/>
          </w:tcPr>
          <w:p w14:paraId="6B903B7F"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290,000</w:t>
            </w:r>
          </w:p>
        </w:tc>
        <w:tc>
          <w:tcPr>
            <w:tcW w:w="1325" w:type="dxa"/>
            <w:tcBorders>
              <w:top w:val="single" w:sz="4" w:space="0" w:color="000000"/>
              <w:left w:val="single" w:sz="4" w:space="0" w:color="000000"/>
            </w:tcBorders>
            <w:shd w:val="clear" w:color="auto" w:fill="auto"/>
            <w:tcMar>
              <w:top w:w="0" w:type="dxa"/>
              <w:bottom w:w="0" w:type="dxa"/>
            </w:tcMar>
            <w:vAlign w:val="center"/>
          </w:tcPr>
          <w:p w14:paraId="174778FE"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179,085</w:t>
            </w:r>
          </w:p>
        </w:tc>
        <w:tc>
          <w:tcPr>
            <w:tcW w:w="624" w:type="dxa"/>
            <w:tcBorders>
              <w:top w:val="single" w:sz="4" w:space="0" w:color="000000"/>
              <w:left w:val="single" w:sz="4" w:space="0" w:color="000000"/>
            </w:tcBorders>
            <w:shd w:val="clear" w:color="auto" w:fill="auto"/>
            <w:tcMar>
              <w:top w:w="0" w:type="dxa"/>
              <w:bottom w:w="0" w:type="dxa"/>
            </w:tcMar>
            <w:vAlign w:val="center"/>
          </w:tcPr>
          <w:p w14:paraId="2BF95382" w14:textId="77777777" w:rsidR="002833CD" w:rsidRDefault="002833CD">
            <w:pPr>
              <w:tabs>
                <w:tab w:val="left" w:pos="432"/>
              </w:tabs>
              <w:spacing w:after="120" w:line="360" w:lineRule="auto"/>
              <w:rPr>
                <w:rFonts w:ascii="Arial" w:eastAsia="Arial" w:hAnsi="Arial" w:cs="Arial"/>
                <w:color w:val="010000"/>
                <w:sz w:val="20"/>
                <w:szCs w:val="20"/>
              </w:rPr>
            </w:pPr>
          </w:p>
        </w:tc>
        <w:tc>
          <w:tcPr>
            <w:tcW w:w="714" w:type="dxa"/>
            <w:tcBorders>
              <w:top w:val="single" w:sz="4" w:space="0" w:color="000000"/>
            </w:tcBorders>
            <w:shd w:val="clear" w:color="auto" w:fill="auto"/>
            <w:tcMar>
              <w:top w:w="0" w:type="dxa"/>
              <w:bottom w:w="0" w:type="dxa"/>
            </w:tcMar>
            <w:vAlign w:val="center"/>
          </w:tcPr>
          <w:p w14:paraId="170574A7"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62%</w:t>
            </w:r>
          </w:p>
        </w:tc>
        <w:tc>
          <w:tcPr>
            <w:tcW w:w="1322"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4758D6A7"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69%</w:t>
            </w:r>
          </w:p>
        </w:tc>
      </w:tr>
      <w:tr w:rsidR="002833CD" w14:paraId="2AE3E534" w14:textId="77777777">
        <w:tc>
          <w:tcPr>
            <w:tcW w:w="2377" w:type="dxa"/>
            <w:tcBorders>
              <w:top w:val="single" w:sz="4" w:space="0" w:color="000000"/>
              <w:left w:val="single" w:sz="4" w:space="0" w:color="000000"/>
            </w:tcBorders>
            <w:shd w:val="clear" w:color="auto" w:fill="auto"/>
            <w:tcMar>
              <w:top w:w="0" w:type="dxa"/>
              <w:bottom w:w="0" w:type="dxa"/>
            </w:tcMar>
            <w:vAlign w:val="center"/>
          </w:tcPr>
          <w:p w14:paraId="59B5EBDB"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Consolidated profit before tax</w:t>
            </w:r>
          </w:p>
        </w:tc>
        <w:tc>
          <w:tcPr>
            <w:tcW w:w="1331" w:type="dxa"/>
            <w:tcBorders>
              <w:top w:val="single" w:sz="4" w:space="0" w:color="000000"/>
              <w:left w:val="single" w:sz="4" w:space="0" w:color="000000"/>
            </w:tcBorders>
            <w:shd w:val="clear" w:color="auto" w:fill="auto"/>
            <w:tcMar>
              <w:top w:w="0" w:type="dxa"/>
              <w:bottom w:w="0" w:type="dxa"/>
            </w:tcMar>
            <w:vAlign w:val="center"/>
          </w:tcPr>
          <w:p w14:paraId="3326260C"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2,642</w:t>
            </w:r>
          </w:p>
        </w:tc>
        <w:tc>
          <w:tcPr>
            <w:tcW w:w="1324" w:type="dxa"/>
            <w:tcBorders>
              <w:top w:val="single" w:sz="4" w:space="0" w:color="000000"/>
              <w:left w:val="single" w:sz="4" w:space="0" w:color="000000"/>
            </w:tcBorders>
            <w:shd w:val="clear" w:color="auto" w:fill="auto"/>
            <w:tcMar>
              <w:top w:w="0" w:type="dxa"/>
              <w:bottom w:w="0" w:type="dxa"/>
            </w:tcMar>
            <w:vAlign w:val="center"/>
          </w:tcPr>
          <w:p w14:paraId="598E6D01"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7,140</w:t>
            </w:r>
          </w:p>
        </w:tc>
        <w:tc>
          <w:tcPr>
            <w:tcW w:w="1325" w:type="dxa"/>
            <w:tcBorders>
              <w:top w:val="single" w:sz="4" w:space="0" w:color="000000"/>
              <w:left w:val="single" w:sz="4" w:space="0" w:color="000000"/>
            </w:tcBorders>
            <w:shd w:val="clear" w:color="auto" w:fill="auto"/>
            <w:tcMar>
              <w:top w:w="0" w:type="dxa"/>
              <w:bottom w:w="0" w:type="dxa"/>
            </w:tcMar>
            <w:vAlign w:val="center"/>
          </w:tcPr>
          <w:p w14:paraId="47F8A69D"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2,692</w:t>
            </w:r>
          </w:p>
        </w:tc>
        <w:tc>
          <w:tcPr>
            <w:tcW w:w="624" w:type="dxa"/>
            <w:tcBorders>
              <w:top w:val="single" w:sz="4" w:space="0" w:color="000000"/>
              <w:left w:val="single" w:sz="4" w:space="0" w:color="000000"/>
            </w:tcBorders>
            <w:shd w:val="clear" w:color="auto" w:fill="auto"/>
            <w:tcMar>
              <w:top w:w="0" w:type="dxa"/>
              <w:bottom w:w="0" w:type="dxa"/>
            </w:tcMar>
            <w:vAlign w:val="center"/>
          </w:tcPr>
          <w:p w14:paraId="291CBA6A" w14:textId="77777777" w:rsidR="002833CD" w:rsidRDefault="002833CD">
            <w:pPr>
              <w:tabs>
                <w:tab w:val="left" w:pos="432"/>
              </w:tabs>
              <w:spacing w:after="120" w:line="360" w:lineRule="auto"/>
              <w:rPr>
                <w:rFonts w:ascii="Arial" w:eastAsia="Arial" w:hAnsi="Arial" w:cs="Arial"/>
                <w:color w:val="010000"/>
                <w:sz w:val="20"/>
                <w:szCs w:val="20"/>
              </w:rPr>
            </w:pPr>
          </w:p>
        </w:tc>
        <w:tc>
          <w:tcPr>
            <w:tcW w:w="714" w:type="dxa"/>
            <w:tcBorders>
              <w:top w:val="single" w:sz="4" w:space="0" w:color="000000"/>
            </w:tcBorders>
            <w:shd w:val="clear" w:color="auto" w:fill="auto"/>
            <w:tcMar>
              <w:top w:w="0" w:type="dxa"/>
              <w:bottom w:w="0" w:type="dxa"/>
            </w:tcMar>
            <w:vAlign w:val="center"/>
          </w:tcPr>
          <w:p w14:paraId="4E284521"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38%</w:t>
            </w:r>
          </w:p>
        </w:tc>
        <w:tc>
          <w:tcPr>
            <w:tcW w:w="1322"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79F0EDE8"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102%</w:t>
            </w:r>
          </w:p>
        </w:tc>
      </w:tr>
      <w:tr w:rsidR="002833CD" w14:paraId="11D57E82" w14:textId="77777777">
        <w:tc>
          <w:tcPr>
            <w:tcW w:w="2377" w:type="dxa"/>
            <w:tcBorders>
              <w:top w:val="single" w:sz="4" w:space="0" w:color="000000"/>
              <w:left w:val="single" w:sz="4" w:space="0" w:color="000000"/>
            </w:tcBorders>
            <w:shd w:val="clear" w:color="auto" w:fill="auto"/>
            <w:tcMar>
              <w:top w:w="0" w:type="dxa"/>
              <w:bottom w:w="0" w:type="dxa"/>
            </w:tcMar>
            <w:vAlign w:val="center"/>
          </w:tcPr>
          <w:p w14:paraId="03DCC28D"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Consolidated profit after tax</w:t>
            </w:r>
          </w:p>
        </w:tc>
        <w:tc>
          <w:tcPr>
            <w:tcW w:w="1331" w:type="dxa"/>
            <w:tcBorders>
              <w:top w:val="single" w:sz="4" w:space="0" w:color="000000"/>
              <w:left w:val="single" w:sz="4" w:space="0" w:color="000000"/>
            </w:tcBorders>
            <w:shd w:val="clear" w:color="auto" w:fill="auto"/>
            <w:tcMar>
              <w:top w:w="0" w:type="dxa"/>
              <w:bottom w:w="0" w:type="dxa"/>
            </w:tcMar>
            <w:vAlign w:val="center"/>
          </w:tcPr>
          <w:p w14:paraId="472059B6"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1,289</w:t>
            </w:r>
          </w:p>
        </w:tc>
        <w:tc>
          <w:tcPr>
            <w:tcW w:w="1324" w:type="dxa"/>
            <w:tcBorders>
              <w:top w:val="single" w:sz="4" w:space="0" w:color="000000"/>
              <w:left w:val="single" w:sz="4" w:space="0" w:color="000000"/>
            </w:tcBorders>
            <w:shd w:val="clear" w:color="auto" w:fill="auto"/>
            <w:tcMar>
              <w:top w:w="0" w:type="dxa"/>
              <w:bottom w:w="0" w:type="dxa"/>
            </w:tcMar>
            <w:vAlign w:val="center"/>
          </w:tcPr>
          <w:p w14:paraId="3F1E87B0"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5,670</w:t>
            </w:r>
          </w:p>
        </w:tc>
        <w:tc>
          <w:tcPr>
            <w:tcW w:w="1325" w:type="dxa"/>
            <w:tcBorders>
              <w:top w:val="single" w:sz="4" w:space="0" w:color="000000"/>
              <w:left w:val="single" w:sz="4" w:space="0" w:color="000000"/>
            </w:tcBorders>
            <w:shd w:val="clear" w:color="auto" w:fill="auto"/>
            <w:tcMar>
              <w:top w:w="0" w:type="dxa"/>
              <w:bottom w:w="0" w:type="dxa"/>
            </w:tcMar>
            <w:vAlign w:val="center"/>
          </w:tcPr>
          <w:p w14:paraId="11484C59"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310</w:t>
            </w:r>
          </w:p>
        </w:tc>
        <w:tc>
          <w:tcPr>
            <w:tcW w:w="624" w:type="dxa"/>
            <w:tcBorders>
              <w:top w:val="single" w:sz="4" w:space="0" w:color="000000"/>
              <w:left w:val="single" w:sz="4" w:space="0" w:color="000000"/>
            </w:tcBorders>
            <w:shd w:val="clear" w:color="auto" w:fill="auto"/>
            <w:tcMar>
              <w:top w:w="0" w:type="dxa"/>
              <w:bottom w:w="0" w:type="dxa"/>
            </w:tcMar>
            <w:vAlign w:val="center"/>
          </w:tcPr>
          <w:p w14:paraId="1DA5AAE8" w14:textId="77777777" w:rsidR="002833CD" w:rsidRDefault="002833CD">
            <w:pPr>
              <w:tabs>
                <w:tab w:val="left" w:pos="432"/>
              </w:tabs>
              <w:spacing w:after="120" w:line="360" w:lineRule="auto"/>
              <w:rPr>
                <w:rFonts w:ascii="Arial" w:eastAsia="Arial" w:hAnsi="Arial" w:cs="Arial"/>
                <w:color w:val="010000"/>
                <w:sz w:val="20"/>
                <w:szCs w:val="20"/>
              </w:rPr>
            </w:pPr>
          </w:p>
        </w:tc>
        <w:tc>
          <w:tcPr>
            <w:tcW w:w="714" w:type="dxa"/>
            <w:tcBorders>
              <w:top w:val="single" w:sz="4" w:space="0" w:color="000000"/>
            </w:tcBorders>
            <w:shd w:val="clear" w:color="auto" w:fill="auto"/>
            <w:tcMar>
              <w:top w:w="0" w:type="dxa"/>
              <w:bottom w:w="0" w:type="dxa"/>
            </w:tcMar>
            <w:vAlign w:val="center"/>
          </w:tcPr>
          <w:p w14:paraId="779A3F13"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w:t>
            </w:r>
          </w:p>
        </w:tc>
        <w:tc>
          <w:tcPr>
            <w:tcW w:w="1322"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7372AFF7"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24%</w:t>
            </w:r>
          </w:p>
        </w:tc>
      </w:tr>
      <w:tr w:rsidR="002833CD" w14:paraId="79D8CD74" w14:textId="77777777">
        <w:tc>
          <w:tcPr>
            <w:tcW w:w="2377"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6630ABB"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Consolidated profit after tax of Holding company's shareholders</w:t>
            </w:r>
          </w:p>
        </w:tc>
        <w:tc>
          <w:tcPr>
            <w:tcW w:w="1331"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09F890A"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521</w:t>
            </w:r>
          </w:p>
        </w:tc>
        <w:tc>
          <w:tcPr>
            <w:tcW w:w="1324"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3592E0E"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4,740</w:t>
            </w:r>
          </w:p>
        </w:tc>
        <w:tc>
          <w:tcPr>
            <w:tcW w:w="1325"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F48BEBA"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909</w:t>
            </w:r>
          </w:p>
        </w:tc>
        <w:tc>
          <w:tcPr>
            <w:tcW w:w="624"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4C9D822" w14:textId="77777777" w:rsidR="002833CD" w:rsidRDefault="002833CD">
            <w:pPr>
              <w:tabs>
                <w:tab w:val="left" w:pos="432"/>
              </w:tabs>
              <w:spacing w:after="120" w:line="360" w:lineRule="auto"/>
              <w:rPr>
                <w:rFonts w:ascii="Arial" w:eastAsia="Arial" w:hAnsi="Arial" w:cs="Arial"/>
                <w:color w:val="010000"/>
                <w:sz w:val="20"/>
                <w:szCs w:val="20"/>
              </w:rPr>
            </w:pPr>
          </w:p>
        </w:tc>
        <w:tc>
          <w:tcPr>
            <w:tcW w:w="714" w:type="dxa"/>
            <w:tcBorders>
              <w:top w:val="single" w:sz="4" w:space="0" w:color="000000"/>
              <w:bottom w:val="single" w:sz="4" w:space="0" w:color="000000"/>
            </w:tcBorders>
            <w:shd w:val="clear" w:color="auto" w:fill="auto"/>
            <w:tcMar>
              <w:top w:w="0" w:type="dxa"/>
              <w:bottom w:w="0" w:type="dxa"/>
            </w:tcMar>
            <w:vAlign w:val="center"/>
          </w:tcPr>
          <w:p w14:paraId="5E758636"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19%</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DAABB1A"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174%</w:t>
            </w:r>
          </w:p>
        </w:tc>
      </w:tr>
    </w:tbl>
    <w:p w14:paraId="0D4EC265" w14:textId="4ED82E8F" w:rsidR="002833CD" w:rsidRDefault="00234A60" w:rsidP="0057046D">
      <w:pPr>
        <w:keepNext/>
        <w:numPr>
          <w:ilvl w:val="0"/>
          <w:numId w:val="3"/>
        </w:numPr>
        <w:pBdr>
          <w:top w:val="nil"/>
          <w:left w:val="nil"/>
          <w:bottom w:val="nil"/>
          <w:right w:val="nil"/>
          <w:between w:val="nil"/>
        </w:pBdr>
        <w:tabs>
          <w:tab w:val="left" w:pos="432"/>
          <w:tab w:val="left" w:pos="1550"/>
        </w:tabs>
        <w:spacing w:after="120" w:line="360" w:lineRule="auto"/>
        <w:jc w:val="both"/>
        <w:rPr>
          <w:rFonts w:ascii="Arial" w:eastAsia="Arial" w:hAnsi="Arial" w:cs="Arial"/>
          <w:color w:val="010000"/>
          <w:sz w:val="20"/>
          <w:szCs w:val="20"/>
        </w:rPr>
      </w:pPr>
      <w:r>
        <w:rPr>
          <w:rFonts w:ascii="Arial" w:hAnsi="Arial"/>
          <w:color w:val="010000"/>
          <w:sz w:val="20"/>
        </w:rPr>
        <w:t>Remuneration of</w:t>
      </w:r>
      <w:r w:rsidR="0057046D">
        <w:rPr>
          <w:rFonts w:ascii="Arial" w:hAnsi="Arial"/>
          <w:color w:val="010000"/>
          <w:sz w:val="20"/>
        </w:rPr>
        <w:t xml:space="preserve"> the Board of Directors and </w:t>
      </w:r>
      <w:r>
        <w:rPr>
          <w:rFonts w:ascii="Arial" w:hAnsi="Arial"/>
          <w:color w:val="010000"/>
          <w:sz w:val="20"/>
        </w:rPr>
        <w:t>Supervisory Board in 2023</w:t>
      </w:r>
    </w:p>
    <w:p w14:paraId="21845BDC" w14:textId="77777777" w:rsidR="002833CD" w:rsidRDefault="00234A60" w:rsidP="0057046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General Meeting unanimously approved the remuneration of the Board of Directors and Supervisory Board in 2023 as follows:</w:t>
      </w:r>
    </w:p>
    <w:p w14:paraId="6DC4BF1E" w14:textId="77777777" w:rsidR="002833CD" w:rsidRDefault="00234A60" w:rsidP="0057046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In 2023, the consolidated profit after tax of the Holding company's shareholders reached VND 909 million, reaching 19% of the plan; The total amount of remuneration paid to the Board of Directors and Supervisory Board in 2023 is: VND 176,000,000 x 19% = VND 33,440,000</w:t>
      </w:r>
    </w:p>
    <w:p w14:paraId="2FE4C495" w14:textId="77777777" w:rsidR="002833CD" w:rsidRDefault="00234A60" w:rsidP="0057046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5. The General Meeting unanimously approved the Production and Business Plan for 2024; The plan for remuneration of the Board of Directors and Supervisory Board in 2024 as follows:</w:t>
      </w:r>
    </w:p>
    <w:p w14:paraId="76564425" w14:textId="77777777" w:rsidR="002833CD" w:rsidRDefault="00234A60" w:rsidP="0057046D">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5.1 Production and business plan for 2024</w:t>
      </w:r>
    </w:p>
    <w:p w14:paraId="66812C3C" w14:textId="77777777" w:rsidR="002833CD" w:rsidRDefault="00234A60" w:rsidP="0057046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Unit: Million VND</w:t>
      </w:r>
    </w:p>
    <w:tbl>
      <w:tblPr>
        <w:tblStyle w:val="a0"/>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8"/>
        <w:gridCol w:w="2218"/>
        <w:gridCol w:w="2043"/>
        <w:gridCol w:w="1468"/>
      </w:tblGrid>
      <w:tr w:rsidR="002833CD" w14:paraId="15715BFE" w14:textId="77777777">
        <w:tc>
          <w:tcPr>
            <w:tcW w:w="3288" w:type="dxa"/>
            <w:shd w:val="clear" w:color="auto" w:fill="auto"/>
            <w:tcMar>
              <w:top w:w="0" w:type="dxa"/>
              <w:bottom w:w="0" w:type="dxa"/>
            </w:tcMar>
            <w:vAlign w:val="center"/>
          </w:tcPr>
          <w:p w14:paraId="048AF01D"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lastRenderedPageBreak/>
              <w:t>Target</w:t>
            </w:r>
          </w:p>
        </w:tc>
        <w:tc>
          <w:tcPr>
            <w:tcW w:w="2218" w:type="dxa"/>
            <w:shd w:val="clear" w:color="auto" w:fill="auto"/>
            <w:tcMar>
              <w:top w:w="0" w:type="dxa"/>
              <w:bottom w:w="0" w:type="dxa"/>
            </w:tcMar>
            <w:vAlign w:val="center"/>
          </w:tcPr>
          <w:p w14:paraId="612A34BE"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Results 2023</w:t>
            </w:r>
          </w:p>
        </w:tc>
        <w:tc>
          <w:tcPr>
            <w:tcW w:w="2043" w:type="dxa"/>
            <w:shd w:val="clear" w:color="auto" w:fill="auto"/>
            <w:tcMar>
              <w:top w:w="0" w:type="dxa"/>
              <w:bottom w:w="0" w:type="dxa"/>
            </w:tcMar>
            <w:vAlign w:val="center"/>
          </w:tcPr>
          <w:p w14:paraId="2B363D4F"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Plan 2024</w:t>
            </w:r>
          </w:p>
        </w:tc>
        <w:tc>
          <w:tcPr>
            <w:tcW w:w="1468" w:type="dxa"/>
            <w:shd w:val="clear" w:color="auto" w:fill="auto"/>
            <w:tcMar>
              <w:top w:w="0" w:type="dxa"/>
              <w:bottom w:w="0" w:type="dxa"/>
            </w:tcMar>
            <w:vAlign w:val="center"/>
          </w:tcPr>
          <w:p w14:paraId="5ADAC2D5"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Compared to Results in 2023</w:t>
            </w:r>
          </w:p>
        </w:tc>
      </w:tr>
      <w:tr w:rsidR="002833CD" w14:paraId="2B14F7EC" w14:textId="77777777">
        <w:tc>
          <w:tcPr>
            <w:tcW w:w="3288" w:type="dxa"/>
            <w:shd w:val="clear" w:color="auto" w:fill="auto"/>
            <w:tcMar>
              <w:top w:w="0" w:type="dxa"/>
              <w:bottom w:w="0" w:type="dxa"/>
            </w:tcMar>
            <w:vAlign w:val="center"/>
          </w:tcPr>
          <w:p w14:paraId="38E2E75B"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Consolidated revenue</w:t>
            </w:r>
          </w:p>
        </w:tc>
        <w:tc>
          <w:tcPr>
            <w:tcW w:w="2218" w:type="dxa"/>
            <w:shd w:val="clear" w:color="auto" w:fill="auto"/>
            <w:tcMar>
              <w:top w:w="0" w:type="dxa"/>
              <w:bottom w:w="0" w:type="dxa"/>
            </w:tcMar>
            <w:vAlign w:val="center"/>
          </w:tcPr>
          <w:p w14:paraId="73D25DDB"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179,085</w:t>
            </w:r>
          </w:p>
        </w:tc>
        <w:tc>
          <w:tcPr>
            <w:tcW w:w="2043" w:type="dxa"/>
            <w:shd w:val="clear" w:color="auto" w:fill="auto"/>
            <w:tcMar>
              <w:top w:w="0" w:type="dxa"/>
              <w:bottom w:w="0" w:type="dxa"/>
            </w:tcMar>
            <w:vAlign w:val="center"/>
          </w:tcPr>
          <w:p w14:paraId="6867858E"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230,000</w:t>
            </w:r>
          </w:p>
        </w:tc>
        <w:tc>
          <w:tcPr>
            <w:tcW w:w="1468" w:type="dxa"/>
            <w:shd w:val="clear" w:color="auto" w:fill="auto"/>
            <w:tcMar>
              <w:top w:w="0" w:type="dxa"/>
              <w:bottom w:w="0" w:type="dxa"/>
            </w:tcMar>
            <w:vAlign w:val="center"/>
          </w:tcPr>
          <w:p w14:paraId="667B811C"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128%</w:t>
            </w:r>
          </w:p>
        </w:tc>
      </w:tr>
      <w:tr w:rsidR="002833CD" w14:paraId="055DE32B" w14:textId="77777777">
        <w:tc>
          <w:tcPr>
            <w:tcW w:w="3288" w:type="dxa"/>
            <w:shd w:val="clear" w:color="auto" w:fill="auto"/>
            <w:tcMar>
              <w:top w:w="0" w:type="dxa"/>
              <w:bottom w:w="0" w:type="dxa"/>
            </w:tcMar>
            <w:vAlign w:val="center"/>
          </w:tcPr>
          <w:p w14:paraId="5E77F006"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Consolidated profit before tax</w:t>
            </w:r>
          </w:p>
        </w:tc>
        <w:tc>
          <w:tcPr>
            <w:tcW w:w="2218" w:type="dxa"/>
            <w:shd w:val="clear" w:color="auto" w:fill="auto"/>
            <w:tcMar>
              <w:top w:w="0" w:type="dxa"/>
              <w:bottom w:w="0" w:type="dxa"/>
            </w:tcMar>
            <w:vAlign w:val="center"/>
          </w:tcPr>
          <w:p w14:paraId="3A400779"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2,692</w:t>
            </w:r>
          </w:p>
        </w:tc>
        <w:tc>
          <w:tcPr>
            <w:tcW w:w="2043" w:type="dxa"/>
            <w:shd w:val="clear" w:color="auto" w:fill="auto"/>
            <w:tcMar>
              <w:top w:w="0" w:type="dxa"/>
              <w:bottom w:w="0" w:type="dxa"/>
            </w:tcMar>
            <w:vAlign w:val="center"/>
          </w:tcPr>
          <w:p w14:paraId="456B7902"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4,700</w:t>
            </w:r>
          </w:p>
        </w:tc>
        <w:tc>
          <w:tcPr>
            <w:tcW w:w="1468" w:type="dxa"/>
            <w:shd w:val="clear" w:color="auto" w:fill="auto"/>
            <w:tcMar>
              <w:top w:w="0" w:type="dxa"/>
              <w:bottom w:w="0" w:type="dxa"/>
            </w:tcMar>
            <w:vAlign w:val="center"/>
          </w:tcPr>
          <w:p w14:paraId="470E2994"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175%</w:t>
            </w:r>
          </w:p>
        </w:tc>
      </w:tr>
      <w:tr w:rsidR="002833CD" w14:paraId="475D5054" w14:textId="77777777">
        <w:tc>
          <w:tcPr>
            <w:tcW w:w="3288" w:type="dxa"/>
            <w:shd w:val="clear" w:color="auto" w:fill="auto"/>
            <w:tcMar>
              <w:top w:w="0" w:type="dxa"/>
              <w:bottom w:w="0" w:type="dxa"/>
            </w:tcMar>
            <w:vAlign w:val="center"/>
          </w:tcPr>
          <w:p w14:paraId="7DE09846"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Consolidated profit after tax</w:t>
            </w:r>
          </w:p>
        </w:tc>
        <w:tc>
          <w:tcPr>
            <w:tcW w:w="2218" w:type="dxa"/>
            <w:shd w:val="clear" w:color="auto" w:fill="auto"/>
            <w:tcMar>
              <w:top w:w="0" w:type="dxa"/>
              <w:bottom w:w="0" w:type="dxa"/>
            </w:tcMar>
            <w:vAlign w:val="center"/>
          </w:tcPr>
          <w:p w14:paraId="2C3EA35A"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310</w:t>
            </w:r>
          </w:p>
        </w:tc>
        <w:tc>
          <w:tcPr>
            <w:tcW w:w="2043" w:type="dxa"/>
            <w:shd w:val="clear" w:color="auto" w:fill="auto"/>
            <w:tcMar>
              <w:top w:w="0" w:type="dxa"/>
              <w:bottom w:w="0" w:type="dxa"/>
            </w:tcMar>
            <w:vAlign w:val="center"/>
          </w:tcPr>
          <w:p w14:paraId="7A0D7927"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3,500</w:t>
            </w:r>
          </w:p>
        </w:tc>
        <w:tc>
          <w:tcPr>
            <w:tcW w:w="1468" w:type="dxa"/>
            <w:shd w:val="clear" w:color="auto" w:fill="auto"/>
            <w:tcMar>
              <w:top w:w="0" w:type="dxa"/>
              <w:bottom w:w="0" w:type="dxa"/>
            </w:tcMar>
            <w:vAlign w:val="center"/>
          </w:tcPr>
          <w:p w14:paraId="71EDB59E"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1129%</w:t>
            </w:r>
          </w:p>
        </w:tc>
      </w:tr>
      <w:tr w:rsidR="002833CD" w14:paraId="17FFB2BF" w14:textId="77777777">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61DF8FF0"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Consolidated profit after tax of Holding company's shareholders</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8A1D9D4"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909</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42E8C94"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3,100</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8D3FF8E"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341%</w:t>
            </w:r>
          </w:p>
        </w:tc>
      </w:tr>
      <w:tr w:rsidR="002833CD" w14:paraId="5A352BFE" w14:textId="77777777">
        <w:tc>
          <w:tcPr>
            <w:tcW w:w="328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778F9CA"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Cash dividend</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713A143"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7%</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171E49E1"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7%</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004FB9B" w14:textId="77777777" w:rsidR="002833CD" w:rsidRDefault="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100%</w:t>
            </w:r>
          </w:p>
        </w:tc>
      </w:tr>
    </w:tbl>
    <w:p w14:paraId="44E5A271" w14:textId="77777777" w:rsidR="002833CD" w:rsidRDefault="00234A60" w:rsidP="00234A60">
      <w:pPr>
        <w:keepNext/>
        <w:numPr>
          <w:ilvl w:val="0"/>
          <w:numId w:val="4"/>
        </w:numPr>
        <w:pBdr>
          <w:top w:val="nil"/>
          <w:left w:val="nil"/>
          <w:bottom w:val="nil"/>
          <w:right w:val="nil"/>
          <w:between w:val="nil"/>
        </w:pBdr>
        <w:tabs>
          <w:tab w:val="left" w:pos="432"/>
          <w:tab w:val="left" w:pos="1322"/>
        </w:tabs>
        <w:spacing w:after="120" w:line="360" w:lineRule="auto"/>
        <w:rPr>
          <w:rFonts w:ascii="Arial" w:eastAsia="Arial" w:hAnsi="Arial" w:cs="Arial"/>
          <w:color w:val="010000"/>
          <w:sz w:val="20"/>
          <w:szCs w:val="20"/>
        </w:rPr>
      </w:pPr>
      <w:r>
        <w:rPr>
          <w:rFonts w:ascii="Arial" w:hAnsi="Arial"/>
          <w:color w:val="010000"/>
          <w:sz w:val="20"/>
        </w:rPr>
        <w:t>Remuneration plan for the Board of Directors, the Supervisory Board in 2024</w:t>
      </w:r>
    </w:p>
    <w:p w14:paraId="3895915B" w14:textId="77777777" w:rsidR="002833CD" w:rsidRDefault="00234A60" w:rsidP="00234A6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Remuneration of the Board of Directors and Supervisory Board in 2024 is paid based on the results of consolidated profit after tax of the Holding company's shareholders in 2024 as follows:</w:t>
      </w:r>
    </w:p>
    <w:p w14:paraId="5CF634C3" w14:textId="77777777" w:rsidR="002833CD" w:rsidRDefault="00234A60" w:rsidP="0057046D">
      <w:pPr>
        <w:numPr>
          <w:ilvl w:val="0"/>
          <w:numId w:val="2"/>
        </w:numPr>
        <w:pBdr>
          <w:top w:val="nil"/>
          <w:left w:val="nil"/>
          <w:bottom w:val="nil"/>
          <w:right w:val="nil"/>
          <w:between w:val="nil"/>
        </w:pBdr>
        <w:tabs>
          <w:tab w:val="left" w:pos="432"/>
          <w:tab w:val="left" w:pos="1166"/>
        </w:tabs>
        <w:spacing w:after="120" w:line="360" w:lineRule="auto"/>
        <w:rPr>
          <w:rFonts w:ascii="Arial" w:eastAsia="Arial" w:hAnsi="Arial" w:cs="Arial"/>
          <w:color w:val="010000"/>
          <w:sz w:val="20"/>
          <w:szCs w:val="20"/>
        </w:rPr>
      </w:pPr>
      <w:r>
        <w:rPr>
          <w:rFonts w:ascii="Arial" w:hAnsi="Arial"/>
          <w:color w:val="010000"/>
          <w:sz w:val="20"/>
        </w:rPr>
        <w:t xml:space="preserve">In case of fulfilling the profit plan, the remuneration of the Board of Directors/Supervisory Board is paid: VND 114,000,000 (the growth rate is equivalent to the growth rate of consolidated profit after tax of Holding company's shareholders planned in 2024/consolidated profit after tax of Holding company's shareholders actually achieved in 2023). </w:t>
      </w:r>
    </w:p>
    <w:p w14:paraId="6C52FB79" w14:textId="77777777" w:rsidR="002833CD" w:rsidRDefault="00234A60" w:rsidP="0057046D">
      <w:pPr>
        <w:numPr>
          <w:ilvl w:val="0"/>
          <w:numId w:val="2"/>
        </w:numPr>
        <w:pBdr>
          <w:top w:val="nil"/>
          <w:left w:val="nil"/>
          <w:bottom w:val="nil"/>
          <w:right w:val="nil"/>
          <w:between w:val="nil"/>
        </w:pBdr>
        <w:tabs>
          <w:tab w:val="left" w:pos="432"/>
          <w:tab w:val="left" w:pos="1166"/>
        </w:tabs>
        <w:spacing w:after="120" w:line="360" w:lineRule="auto"/>
        <w:rPr>
          <w:rFonts w:ascii="Arial" w:eastAsia="Arial" w:hAnsi="Arial" w:cs="Arial"/>
          <w:color w:val="010000"/>
          <w:sz w:val="20"/>
          <w:szCs w:val="20"/>
        </w:rPr>
      </w:pPr>
      <w:r>
        <w:rPr>
          <w:rFonts w:ascii="Arial" w:hAnsi="Arial"/>
          <w:color w:val="010000"/>
          <w:sz w:val="20"/>
        </w:rPr>
        <w:t xml:space="preserve">In case of not fulfilling the profit plan, the remuneration of the Board of Directors/Supervisory Board is calculated: VND 114,000,000 X (multiplied by) the rate of profit plan completion. </w:t>
      </w:r>
    </w:p>
    <w:p w14:paraId="46863A9B" w14:textId="77777777" w:rsidR="002833CD" w:rsidRDefault="00234A60" w:rsidP="00234A60">
      <w:pPr>
        <w:numPr>
          <w:ilvl w:val="0"/>
          <w:numId w:val="2"/>
        </w:numPr>
        <w:pBdr>
          <w:top w:val="nil"/>
          <w:left w:val="nil"/>
          <w:bottom w:val="nil"/>
          <w:right w:val="nil"/>
          <w:between w:val="nil"/>
        </w:pBdr>
        <w:tabs>
          <w:tab w:val="left" w:pos="432"/>
          <w:tab w:val="left" w:pos="1166"/>
        </w:tabs>
        <w:spacing w:after="120" w:line="360" w:lineRule="auto"/>
        <w:rPr>
          <w:rFonts w:ascii="Arial" w:eastAsia="Arial" w:hAnsi="Arial" w:cs="Arial"/>
          <w:color w:val="010000"/>
          <w:sz w:val="20"/>
          <w:szCs w:val="20"/>
        </w:rPr>
      </w:pPr>
      <w:r>
        <w:rPr>
          <w:rFonts w:ascii="Arial" w:hAnsi="Arial"/>
          <w:color w:val="010000"/>
          <w:sz w:val="20"/>
        </w:rPr>
        <w:lastRenderedPageBreak/>
        <w:t>In case of exceeding the plan:  for every 1% exceeding the consolidated profit after tax plan of the Holding company's shareholders, an additional 2% of the completion remuneration will be enjoyed, but the maximum increase must not exceed 20% of the salary fund of executive managers in 2024.</w:t>
      </w:r>
    </w:p>
    <w:p w14:paraId="26832AA5" w14:textId="77777777" w:rsidR="002833CD" w:rsidRDefault="00234A60" w:rsidP="00234A60">
      <w:pPr>
        <w:numPr>
          <w:ilvl w:val="0"/>
          <w:numId w:val="2"/>
        </w:numPr>
        <w:pBdr>
          <w:top w:val="nil"/>
          <w:left w:val="nil"/>
          <w:bottom w:val="nil"/>
          <w:right w:val="nil"/>
          <w:between w:val="nil"/>
        </w:pBdr>
        <w:tabs>
          <w:tab w:val="left" w:pos="432"/>
          <w:tab w:val="left" w:pos="1166"/>
        </w:tabs>
        <w:spacing w:after="120" w:line="360" w:lineRule="auto"/>
        <w:rPr>
          <w:rFonts w:ascii="Arial" w:eastAsia="Arial" w:hAnsi="Arial" w:cs="Arial"/>
          <w:color w:val="010000"/>
          <w:sz w:val="20"/>
          <w:szCs w:val="20"/>
        </w:rPr>
      </w:pPr>
      <w:r>
        <w:rPr>
          <w:rFonts w:ascii="Arial" w:hAnsi="Arial"/>
          <w:color w:val="010000"/>
          <w:sz w:val="20"/>
        </w:rPr>
        <w:t>In case of loss:  no remuneration is paid to the Board of Directors/Supervisory Board.</w:t>
      </w:r>
    </w:p>
    <w:p w14:paraId="1107C9B8" w14:textId="77777777" w:rsidR="002833CD" w:rsidRDefault="00234A60" w:rsidP="00B25EF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6. Distribution of profit in 2023 and reversal of funds into undistributed profit after tax.</w:t>
      </w:r>
    </w:p>
    <w:p w14:paraId="72D26026" w14:textId="77777777" w:rsidR="002833CD" w:rsidRDefault="00234A60" w:rsidP="00B25EF3">
      <w:pPr>
        <w:numPr>
          <w:ilvl w:val="0"/>
          <w:numId w:val="1"/>
        </w:numPr>
        <w:pBdr>
          <w:top w:val="nil"/>
          <w:left w:val="nil"/>
          <w:bottom w:val="nil"/>
          <w:right w:val="nil"/>
          <w:between w:val="nil"/>
        </w:pBdr>
        <w:tabs>
          <w:tab w:val="left" w:pos="432"/>
          <w:tab w:val="left" w:pos="1361"/>
        </w:tabs>
        <w:spacing w:after="120" w:line="360" w:lineRule="auto"/>
        <w:jc w:val="both"/>
        <w:rPr>
          <w:rFonts w:ascii="Arial" w:eastAsia="Arial" w:hAnsi="Arial" w:cs="Arial"/>
          <w:color w:val="010000"/>
          <w:sz w:val="20"/>
          <w:szCs w:val="20"/>
        </w:rPr>
      </w:pPr>
      <w:r>
        <w:rPr>
          <w:rFonts w:ascii="Arial" w:hAnsi="Arial"/>
          <w:color w:val="010000"/>
          <w:sz w:val="20"/>
        </w:rPr>
        <w:t>The General Meeting unanimously approved the distribution of profit in 2023 and the reversal of funds into undistributed profit after tax according to Proposal No. 02/TT-BOD dated April 2, 2024.</w:t>
      </w:r>
    </w:p>
    <w:p w14:paraId="0BBF7683" w14:textId="77777777" w:rsidR="002833CD" w:rsidRDefault="00234A60" w:rsidP="00B25EF3">
      <w:pPr>
        <w:numPr>
          <w:ilvl w:val="0"/>
          <w:numId w:val="1"/>
        </w:numPr>
        <w:pBdr>
          <w:top w:val="nil"/>
          <w:left w:val="nil"/>
          <w:bottom w:val="nil"/>
          <w:right w:val="nil"/>
          <w:between w:val="nil"/>
        </w:pBdr>
        <w:tabs>
          <w:tab w:val="left" w:pos="432"/>
          <w:tab w:val="left" w:pos="1312"/>
        </w:tabs>
        <w:spacing w:after="120" w:line="360" w:lineRule="auto"/>
        <w:jc w:val="both"/>
        <w:rPr>
          <w:rFonts w:ascii="Arial" w:eastAsia="Arial" w:hAnsi="Arial" w:cs="Arial"/>
          <w:color w:val="010000"/>
          <w:sz w:val="20"/>
          <w:szCs w:val="20"/>
        </w:rPr>
      </w:pPr>
      <w:r>
        <w:rPr>
          <w:rFonts w:ascii="Arial" w:hAnsi="Arial"/>
          <w:color w:val="010000"/>
          <w:sz w:val="20"/>
        </w:rPr>
        <w:t>The General Meeting unanimously approved the payment of cash dividends in 2023 at 7%.</w:t>
      </w:r>
    </w:p>
    <w:p w14:paraId="4B3237DC" w14:textId="77777777" w:rsidR="002833CD" w:rsidRDefault="00234A60" w:rsidP="00B25EF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‎‎Article 7. The General Meeting unanimously approved the authorization for the Board of Directors of the company to select one of the independent audit companies permitted to audit listed companies to audit the Company's Financial Statements for the fiscal year 2024.</w:t>
      </w:r>
    </w:p>
    <w:p w14:paraId="6095DC92" w14:textId="7A6F23DC" w:rsidR="002833CD" w:rsidRDefault="00234A60" w:rsidP="00B25EF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‎‎Article 8. The General Meeting assigns tasks to the Board of Directors to direct and organize the implementation of the contents of the General Mandate approved at this General Meeting </w:t>
      </w:r>
      <w:r w:rsidR="00B25EF3">
        <w:rPr>
          <w:rFonts w:ascii="Arial" w:hAnsi="Arial"/>
          <w:color w:val="010000"/>
          <w:sz w:val="20"/>
        </w:rPr>
        <w:t>under applicable laws</w:t>
      </w:r>
      <w:r>
        <w:rPr>
          <w:rFonts w:ascii="Arial" w:hAnsi="Arial"/>
          <w:color w:val="010000"/>
          <w:sz w:val="20"/>
        </w:rPr>
        <w:t xml:space="preserve"> and VTC Telecommunications JSC's Charter.</w:t>
      </w:r>
    </w:p>
    <w:p w14:paraId="3C248FE9" w14:textId="14BFBA24" w:rsidR="002833CD" w:rsidRDefault="00234A60" w:rsidP="00B25EF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‎‎Article 9. This General Mandate was approved by the General Meeting </w:t>
      </w:r>
      <w:bookmarkStart w:id="1" w:name="_GoBack"/>
      <w:bookmarkEnd w:id="1"/>
      <w:r>
        <w:rPr>
          <w:rFonts w:ascii="Arial" w:hAnsi="Arial"/>
          <w:color w:val="010000"/>
          <w:sz w:val="20"/>
        </w:rPr>
        <w:t>of VTC Telecommunications JSC and takes effect from April 25, 2024.</w:t>
      </w:r>
    </w:p>
    <w:sectPr w:rsidR="002833CD">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A5958"/>
    <w:multiLevelType w:val="multilevel"/>
    <w:tmpl w:val="7B7A8A36"/>
    <w:lvl w:ilvl="0">
      <w:start w:val="1"/>
      <w:numFmt w:val="bullet"/>
      <w:lvlText w:val="-"/>
      <w:lvlJc w:val="left"/>
      <w:pPr>
        <w:ind w:left="675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6750" w:firstLine="0"/>
      </w:pPr>
      <w:rPr>
        <w:rFonts w:ascii="Arial" w:eastAsia="Arial" w:hAnsi="Arial" w:cs="Arial"/>
        <w:b w:val="0"/>
        <w:i w:val="0"/>
        <w:sz w:val="20"/>
        <w:szCs w:val="20"/>
      </w:rPr>
    </w:lvl>
    <w:lvl w:ilvl="2">
      <w:numFmt w:val="decimal"/>
      <w:lvlText w:val=""/>
      <w:lvlJc w:val="left"/>
      <w:pPr>
        <w:ind w:left="6750" w:firstLine="0"/>
      </w:pPr>
      <w:rPr>
        <w:rFonts w:ascii="Arial" w:eastAsia="Arial" w:hAnsi="Arial" w:cs="Arial"/>
        <w:b w:val="0"/>
        <w:i w:val="0"/>
        <w:sz w:val="20"/>
        <w:szCs w:val="20"/>
      </w:rPr>
    </w:lvl>
    <w:lvl w:ilvl="3">
      <w:numFmt w:val="decimal"/>
      <w:lvlText w:val=""/>
      <w:lvlJc w:val="left"/>
      <w:pPr>
        <w:ind w:left="6750" w:firstLine="0"/>
      </w:pPr>
    </w:lvl>
    <w:lvl w:ilvl="4">
      <w:numFmt w:val="decimal"/>
      <w:lvlText w:val=""/>
      <w:lvlJc w:val="left"/>
      <w:pPr>
        <w:ind w:left="6750" w:firstLine="0"/>
      </w:pPr>
    </w:lvl>
    <w:lvl w:ilvl="5">
      <w:numFmt w:val="decimal"/>
      <w:lvlText w:val=""/>
      <w:lvlJc w:val="left"/>
      <w:pPr>
        <w:ind w:left="6750" w:firstLine="0"/>
      </w:pPr>
    </w:lvl>
    <w:lvl w:ilvl="6">
      <w:numFmt w:val="decimal"/>
      <w:lvlText w:val=""/>
      <w:lvlJc w:val="left"/>
      <w:pPr>
        <w:ind w:left="6750" w:firstLine="0"/>
      </w:pPr>
    </w:lvl>
    <w:lvl w:ilvl="7">
      <w:numFmt w:val="decimal"/>
      <w:lvlText w:val=""/>
      <w:lvlJc w:val="left"/>
      <w:pPr>
        <w:ind w:left="6750" w:firstLine="0"/>
      </w:pPr>
    </w:lvl>
    <w:lvl w:ilvl="8">
      <w:numFmt w:val="decimal"/>
      <w:lvlText w:val=""/>
      <w:lvlJc w:val="left"/>
      <w:pPr>
        <w:ind w:left="6750" w:firstLine="0"/>
      </w:pPr>
    </w:lvl>
  </w:abstractNum>
  <w:abstractNum w:abstractNumId="1" w15:restartNumberingAfterBreak="0">
    <w:nsid w:val="5B2572A3"/>
    <w:multiLevelType w:val="multilevel"/>
    <w:tmpl w:val="633A1386"/>
    <w:lvl w:ilvl="0">
      <w:start w:val="1"/>
      <w:numFmt w:val="decimal"/>
      <w:lvlText w:val="6.%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F4B0908"/>
    <w:multiLevelType w:val="multilevel"/>
    <w:tmpl w:val="39AAAEEA"/>
    <w:lvl w:ilvl="0">
      <w:start w:val="2"/>
      <w:numFmt w:val="decimal"/>
      <w:lvlText w:val="4.%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5217E01"/>
    <w:multiLevelType w:val="multilevel"/>
    <w:tmpl w:val="8DE28CFA"/>
    <w:lvl w:ilvl="0">
      <w:start w:val="2"/>
      <w:numFmt w:val="decimal"/>
      <w:lvlText w:val="5.%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CD"/>
    <w:rsid w:val="00234A60"/>
    <w:rsid w:val="002833CD"/>
    <w:rsid w:val="0057046D"/>
    <w:rsid w:val="00B25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71C1"/>
  <w15:docId w15:val="{4D13FC2C-2CA0-419B-B203-FE6F0A35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232228"/>
      <w:sz w:val="17"/>
      <w:szCs w:val="17"/>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color w:val="232228"/>
      <w:sz w:val="36"/>
      <w:szCs w:val="36"/>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color w:val="232228"/>
      <w:sz w:val="28"/>
      <w:szCs w:val="28"/>
      <w:u w:val="none"/>
      <w:shd w:val="clear" w:color="auto" w:fill="auto"/>
    </w:rPr>
  </w:style>
  <w:style w:type="character" w:customStyle="1" w:styleId="Bodytext6">
    <w:name w:val="Body text (6)_"/>
    <w:basedOn w:val="DefaultParagraphFont"/>
    <w:link w:val="Bodytext60"/>
    <w:rPr>
      <w:b w:val="0"/>
      <w:bCs w:val="0"/>
      <w:i/>
      <w:iCs/>
      <w:smallCaps w:val="0"/>
      <w:strike w:val="0"/>
      <w:sz w:val="20"/>
      <w:szCs w:val="2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40">
    <w:name w:val="Heading #4_"/>
    <w:basedOn w:val="DefaultParagraphFont"/>
    <w:link w:val="Heading41"/>
    <w:rPr>
      <w:rFonts w:ascii="Times New Roman" w:eastAsia="Times New Roman" w:hAnsi="Times New Roman" w:cs="Times New Roman"/>
      <w:b/>
      <w:bCs/>
      <w:i w:val="0"/>
      <w:iCs w:val="0"/>
      <w:smallCaps w:val="0"/>
      <w:strike w:val="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C92A4C"/>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sz w:val="38"/>
      <w:szCs w:val="38"/>
      <w:u w:val="none"/>
      <w:shd w:val="clear" w:color="auto" w:fill="auto"/>
    </w:rPr>
  </w:style>
  <w:style w:type="character" w:customStyle="1" w:styleId="Bodytext5">
    <w:name w:val="Body text (5)_"/>
    <w:basedOn w:val="DefaultParagraphFont"/>
    <w:link w:val="Bodytext50"/>
    <w:rPr>
      <w:rFonts w:ascii="Verdana" w:eastAsia="Verdana" w:hAnsi="Verdana" w:cs="Verdana"/>
      <w:b w:val="0"/>
      <w:bCs w:val="0"/>
      <w:i w:val="0"/>
      <w:iCs w:val="0"/>
      <w:smallCaps w:val="0"/>
      <w:strike w:val="0"/>
      <w:sz w:val="12"/>
      <w:szCs w:val="12"/>
      <w:u w:val="none"/>
      <w:shd w:val="clear" w:color="auto" w:fill="auto"/>
    </w:rPr>
  </w:style>
  <w:style w:type="paragraph" w:styleId="BodyText">
    <w:name w:val="Body Text"/>
    <w:basedOn w:val="Normal"/>
    <w:link w:val="BodyTextChar"/>
    <w:qFormat/>
    <w:pPr>
      <w:spacing w:line="310" w:lineRule="auto"/>
    </w:pPr>
    <w:rPr>
      <w:rFonts w:ascii="Times New Roman" w:eastAsia="Times New Roman" w:hAnsi="Times New Roman" w:cs="Times New Roman"/>
    </w:rPr>
  </w:style>
  <w:style w:type="paragraph" w:customStyle="1" w:styleId="Bodytext20">
    <w:name w:val="Body text (2)"/>
    <w:basedOn w:val="Normal"/>
    <w:link w:val="Bodytext2"/>
    <w:rPr>
      <w:rFonts w:ascii="Times New Roman" w:eastAsia="Times New Roman" w:hAnsi="Times New Roman" w:cs="Times New Roman"/>
      <w:color w:val="232228"/>
      <w:sz w:val="17"/>
      <w:szCs w:val="17"/>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color w:val="232228"/>
      <w:sz w:val="36"/>
      <w:szCs w:val="36"/>
    </w:rPr>
  </w:style>
  <w:style w:type="paragraph" w:customStyle="1" w:styleId="Heading31">
    <w:name w:val="Heading #3"/>
    <w:basedOn w:val="Normal"/>
    <w:link w:val="Heading30"/>
    <w:pPr>
      <w:spacing w:line="341" w:lineRule="auto"/>
      <w:jc w:val="center"/>
      <w:outlineLvl w:val="2"/>
    </w:pPr>
    <w:rPr>
      <w:rFonts w:ascii="Times New Roman" w:eastAsia="Times New Roman" w:hAnsi="Times New Roman" w:cs="Times New Roman"/>
      <w:b/>
      <w:bCs/>
      <w:color w:val="232228"/>
      <w:sz w:val="28"/>
      <w:szCs w:val="28"/>
    </w:rPr>
  </w:style>
  <w:style w:type="paragraph" w:customStyle="1" w:styleId="Bodytext60">
    <w:name w:val="Body text (6)"/>
    <w:basedOn w:val="Normal"/>
    <w:link w:val="Bodytext6"/>
    <w:pPr>
      <w:spacing w:line="386" w:lineRule="auto"/>
    </w:pPr>
    <w:rPr>
      <w:i/>
      <w:iCs/>
      <w:sz w:val="20"/>
      <w:szCs w:val="20"/>
    </w:rPr>
  </w:style>
  <w:style w:type="paragraph" w:customStyle="1" w:styleId="Bodytext30">
    <w:name w:val="Body text (3)"/>
    <w:basedOn w:val="Normal"/>
    <w:link w:val="Bodytext3"/>
    <w:rPr>
      <w:rFonts w:ascii="Times New Roman" w:eastAsia="Times New Roman" w:hAnsi="Times New Roman" w:cs="Times New Roman"/>
      <w:sz w:val="28"/>
      <w:szCs w:val="28"/>
    </w:rPr>
  </w:style>
  <w:style w:type="paragraph" w:customStyle="1" w:styleId="Tablecaption0">
    <w:name w:val="Table caption"/>
    <w:basedOn w:val="Normal"/>
    <w:link w:val="Tablecaption"/>
    <w:rPr>
      <w:rFonts w:ascii="Times New Roman" w:eastAsia="Times New Roman" w:hAnsi="Times New Roman" w:cs="Times New Roman"/>
      <w:b/>
      <w:bCs/>
    </w:rPr>
  </w:style>
  <w:style w:type="paragraph" w:customStyle="1" w:styleId="Other0">
    <w:name w:val="Other"/>
    <w:basedOn w:val="Normal"/>
    <w:link w:val="Other"/>
    <w:pPr>
      <w:spacing w:line="310" w:lineRule="auto"/>
    </w:pPr>
    <w:rPr>
      <w:rFonts w:ascii="Times New Roman" w:eastAsia="Times New Roman" w:hAnsi="Times New Roman" w:cs="Times New Roman"/>
    </w:rPr>
  </w:style>
  <w:style w:type="paragraph" w:customStyle="1" w:styleId="Heading41">
    <w:name w:val="Heading #4"/>
    <w:basedOn w:val="Normal"/>
    <w:link w:val="Heading40"/>
    <w:pPr>
      <w:spacing w:line="281" w:lineRule="auto"/>
      <w:outlineLvl w:val="3"/>
    </w:pPr>
    <w:rPr>
      <w:rFonts w:ascii="Times New Roman" w:eastAsia="Times New Roman" w:hAnsi="Times New Roman" w:cs="Times New Roman"/>
      <w:b/>
      <w:bCs/>
    </w:rPr>
  </w:style>
  <w:style w:type="paragraph" w:customStyle="1" w:styleId="Bodytext40">
    <w:name w:val="Body text (4)"/>
    <w:basedOn w:val="Normal"/>
    <w:link w:val="Bodytext4"/>
    <w:pPr>
      <w:spacing w:line="281" w:lineRule="exact"/>
    </w:pPr>
    <w:rPr>
      <w:rFonts w:ascii="Arial" w:eastAsia="Arial" w:hAnsi="Arial" w:cs="Arial"/>
      <w:color w:val="C92A4C"/>
      <w:sz w:val="20"/>
      <w:szCs w:val="20"/>
    </w:rPr>
  </w:style>
  <w:style w:type="paragraph" w:customStyle="1" w:styleId="Heading11">
    <w:name w:val="Heading #1"/>
    <w:basedOn w:val="Normal"/>
    <w:link w:val="Heading10"/>
    <w:pPr>
      <w:outlineLvl w:val="0"/>
    </w:pPr>
    <w:rPr>
      <w:rFonts w:ascii="Times New Roman" w:eastAsia="Times New Roman" w:hAnsi="Times New Roman" w:cs="Times New Roman"/>
      <w:sz w:val="38"/>
      <w:szCs w:val="38"/>
    </w:rPr>
  </w:style>
  <w:style w:type="paragraph" w:customStyle="1" w:styleId="Bodytext50">
    <w:name w:val="Body text (5)"/>
    <w:basedOn w:val="Normal"/>
    <w:link w:val="Bodytext5"/>
    <w:pPr>
      <w:ind w:firstLine="700"/>
    </w:pPr>
    <w:rPr>
      <w:rFonts w:ascii="Verdana" w:eastAsia="Verdana" w:hAnsi="Verdana" w:cs="Verdana"/>
      <w:sz w:val="12"/>
      <w:szCs w:val="1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8SJhwnae5W4VbsMuzPmdy9eGQ==">CgMxLjAyCGguZ2pkZ3hzOAByITFmM1FHUUNmN2ktRFJOZFhZb2Fub2VfOWhoQXVXcTMxYw==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2024-05-06T04:38:00Z</dcterms:created>
  <dcterms:modified xsi:type="dcterms:W3CDTF">2024-05-06T04:38:00Z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a7680d23314b64cff3ab1e63d6520d4211d19cd1b6d4cad7c2a49e3bc5538344</vt:lpwstr>
  </property>
</Properties>
</file>