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2"/>
        </w:tabs>
        <w:spacing w:after="120" w:before="0" w:line="360" w:lineRule="auto"/>
        <w:ind w:left="0" w:right="0" w:firstLine="0"/>
        <w:jc w:val="left"/>
        <w:rPr>
          <w:b w:val="1"/>
          <w:i w:val="0"/>
          <w:smallCaps w:val="0"/>
          <w:strike w:val="0"/>
          <w:color w:val="010000"/>
          <w:sz w:val="20"/>
          <w:szCs w:val="20"/>
          <w:u w:val="none"/>
          <w:shd w:fill="auto" w:val="clear"/>
          <w:vertAlign w:val="baseline"/>
          <w:rFonts w:ascii="Arial" w:cs="Arial" w:eastAsia="Arial" w:hAnsi="Arial"/>
        </w:rPr>
      </w:pPr>
      <w:r>
        <w:rPr>
          <w:b w:val="1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VTI:</w:t>
      </w:r>
      <w:r>
        <w:rPr>
          <w:b w:val="1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 </w:t>
      </w:r>
      <w:r>
        <w:rPr>
          <w:b w:val="1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Annual General Mandate 2024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2"/>
        </w:tabs>
        <w:spacing w:after="120" w:before="0" w:line="360" w:lineRule="auto"/>
        <w:ind w:left="0" w:right="0" w:firstLine="0"/>
        <w:jc w:val="left"/>
        <w:rPr>
          <w:b w:val="0"/>
          <w:i w:val="0"/>
          <w:smallCaps w:val="0"/>
          <w:strike w:val="0"/>
          <w:color w:val="010000"/>
          <w:sz w:val="20"/>
          <w:szCs w:val="20"/>
          <w:u w:val="none"/>
          <w:shd w:fill="auto" w:val="clear"/>
          <w:vertAlign w:val="baseline"/>
          <w:rFonts w:ascii="Arial" w:cs="Arial" w:eastAsia="Arial" w:hAnsi="Arial"/>
        </w:rPr>
      </w:pP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On April 26, 2024, Textile-Garment Import-Export and Production Joint Stock Corporation (VINATEXIMEX) announced General Mandate No. 01/NQ-DHCD as follows: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2"/>
          <w:tab w:val="left" w:leader="none" w:pos="8769"/>
        </w:tabs>
        <w:spacing w:after="120" w:before="0" w:line="360" w:lineRule="auto"/>
        <w:ind w:left="0" w:right="0" w:firstLine="0"/>
        <w:jc w:val="left"/>
        <w:rPr>
          <w:b w:val="0"/>
          <w:i w:val="0"/>
          <w:smallCaps w:val="0"/>
          <w:strike w:val="0"/>
          <w:color w:val="010000"/>
          <w:sz w:val="20"/>
          <w:szCs w:val="20"/>
          <w:u w:val="none"/>
          <w:shd w:fill="auto" w:val="clear"/>
          <w:vertAlign w:val="baseline"/>
          <w:rFonts w:ascii="Arial" w:cs="Arial" w:eastAsia="Arial" w:hAnsi="Arial"/>
        </w:rPr>
      </w:pP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Article 1:</w:t>
      </w: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 </w:t>
      </w: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Approve the audited Financial Statements for 2023 with the following key indicators: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2"/>
          <w:tab w:val="left" w:leader="none" w:pos="695"/>
          <w:tab w:val="right" w:leader="none" w:pos="10037"/>
        </w:tabs>
        <w:spacing w:after="120" w:before="0" w:line="360" w:lineRule="auto"/>
        <w:ind w:left="0" w:right="0" w:firstLine="0"/>
        <w:jc w:val="left"/>
        <w:rPr>
          <w:b w:val="0"/>
          <w:i w:val="0"/>
          <w:smallCaps w:val="0"/>
          <w:strike w:val="0"/>
          <w:color w:val="010000"/>
          <w:sz w:val="20"/>
          <w:szCs w:val="20"/>
          <w:u w:val="none"/>
          <w:shd w:fill="auto" w:val="clear"/>
          <w:vertAlign w:val="baseline"/>
          <w:rFonts w:ascii="Arial" w:cs="Arial" w:eastAsia="Arial" w:hAnsi="Arial"/>
        </w:rPr>
      </w:pP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Total assets</w:t>
      </w: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 </w:t>
      </w: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VND 12,035,420,412</w:t>
      </w: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2"/>
          <w:tab w:val="left" w:leader="none" w:pos="695"/>
          <w:tab w:val="right" w:leader="none" w:pos="7589"/>
        </w:tabs>
        <w:spacing w:after="120" w:before="0" w:line="360" w:lineRule="auto"/>
        <w:ind w:left="0" w:right="0" w:firstLine="0"/>
        <w:jc w:val="left"/>
        <w:rPr>
          <w:b w:val="0"/>
          <w:i w:val="0"/>
          <w:smallCaps w:val="0"/>
          <w:strike w:val="0"/>
          <w:color w:val="010000"/>
          <w:sz w:val="20"/>
          <w:szCs w:val="20"/>
          <w:u w:val="none"/>
          <w:shd w:fill="auto" w:val="clear"/>
          <w:vertAlign w:val="baseline"/>
          <w:rFonts w:ascii="Arial" w:cs="Arial" w:eastAsia="Arial" w:hAnsi="Arial"/>
        </w:rPr>
      </w:pP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Total capital:</w:t>
      </w: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 </w:t>
      </w: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VND 12,035,420,412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2"/>
          <w:tab w:val="left" w:leader="none" w:pos="695"/>
          <w:tab w:val="right" w:leader="none" w:pos="7589"/>
        </w:tabs>
        <w:spacing w:after="120" w:before="0" w:line="360" w:lineRule="auto"/>
        <w:ind w:left="0" w:right="0" w:firstLine="0"/>
        <w:jc w:val="left"/>
        <w:rPr>
          <w:b w:val="0"/>
          <w:i w:val="0"/>
          <w:smallCaps w:val="0"/>
          <w:strike w:val="0"/>
          <w:color w:val="010000"/>
          <w:sz w:val="20"/>
          <w:szCs w:val="20"/>
          <w:u w:val="none"/>
          <w:shd w:fill="auto" w:val="clear"/>
          <w:vertAlign w:val="baseline"/>
          <w:rFonts w:ascii="Arial" w:cs="Arial" w:eastAsia="Arial" w:hAnsi="Arial"/>
        </w:rPr>
      </w:pP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Revenue from goods sales and services provision:</w:t>
      </w: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 </w:t>
      </w: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VND 9,247,808,664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2"/>
          <w:tab w:val="left" w:leader="none" w:pos="695"/>
          <w:tab w:val="right" w:leader="none" w:pos="7589"/>
        </w:tabs>
        <w:spacing w:after="120" w:before="0" w:line="360" w:lineRule="auto"/>
        <w:ind w:left="0" w:right="0" w:firstLine="0"/>
        <w:jc w:val="left"/>
        <w:rPr>
          <w:b w:val="0"/>
          <w:i w:val="0"/>
          <w:smallCaps w:val="0"/>
          <w:strike w:val="0"/>
          <w:color w:val="010000"/>
          <w:sz w:val="20"/>
          <w:szCs w:val="20"/>
          <w:u w:val="none"/>
          <w:shd w:fill="auto" w:val="clear"/>
          <w:vertAlign w:val="baseline"/>
          <w:rFonts w:ascii="Arial" w:cs="Arial" w:eastAsia="Arial" w:hAnsi="Arial"/>
        </w:rPr>
      </w:pP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Total profit before tax:</w:t>
      </w: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 </w:t>
      </w: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VND 49,035,061,235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2"/>
          <w:tab w:val="left" w:leader="none" w:pos="695"/>
          <w:tab w:val="right" w:leader="none" w:pos="7589"/>
        </w:tabs>
        <w:spacing w:after="120" w:before="0" w:line="360" w:lineRule="auto"/>
        <w:ind w:left="0" w:right="0" w:firstLine="0"/>
        <w:jc w:val="left"/>
        <w:rPr>
          <w:b w:val="0"/>
          <w:i w:val="0"/>
          <w:smallCaps w:val="0"/>
          <w:strike w:val="0"/>
          <w:color w:val="010000"/>
          <w:sz w:val="20"/>
          <w:szCs w:val="20"/>
          <w:u w:val="none"/>
          <w:shd w:fill="auto" w:val="clear"/>
          <w:vertAlign w:val="baseline"/>
          <w:rFonts w:ascii="Arial" w:cs="Arial" w:eastAsia="Arial" w:hAnsi="Arial"/>
        </w:rPr>
      </w:pP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Profit after tax:</w:t>
      </w: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 </w:t>
      </w: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VND 44,464,101,374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2"/>
        </w:tabs>
        <w:spacing w:after="120" w:before="0" w:line="360" w:lineRule="auto"/>
        <w:ind w:left="0" w:right="0" w:firstLine="0"/>
        <w:jc w:val="left"/>
        <w:rPr>
          <w:b w:val="0"/>
          <w:i w:val="0"/>
          <w:smallCaps w:val="0"/>
          <w:strike w:val="0"/>
          <w:color w:val="010000"/>
          <w:sz w:val="20"/>
          <w:szCs w:val="20"/>
          <w:u w:val="none"/>
          <w:shd w:fill="auto" w:val="clear"/>
          <w:vertAlign w:val="baseline"/>
          <w:rFonts w:ascii="Arial" w:cs="Arial" w:eastAsia="Arial" w:hAnsi="Arial"/>
        </w:rPr>
      </w:pP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Article 2:</w:t>
      </w: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 </w:t>
      </w: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Approve the Business Plan for 2024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2"/>
          <w:tab w:val="left" w:leader="none" w:pos="695"/>
          <w:tab w:val="right" w:leader="none" w:pos="10037"/>
        </w:tabs>
        <w:spacing w:after="120" w:before="0" w:line="360" w:lineRule="auto"/>
        <w:ind w:left="0" w:right="0" w:firstLine="0"/>
        <w:jc w:val="left"/>
        <w:rPr>
          <w:b w:val="0"/>
          <w:i w:val="0"/>
          <w:smallCaps w:val="0"/>
          <w:strike w:val="0"/>
          <w:color w:val="010000"/>
          <w:sz w:val="20"/>
          <w:szCs w:val="20"/>
          <w:u w:val="none"/>
          <w:shd w:fill="auto" w:val="clear"/>
          <w:vertAlign w:val="baseline"/>
          <w:rFonts w:ascii="Arial" w:cs="Arial" w:eastAsia="Arial" w:hAnsi="Arial"/>
        </w:rPr>
      </w:pP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The revenue target is VND 4.5 billion.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2"/>
          <w:tab w:val="left" w:leader="none" w:pos="695"/>
          <w:tab w:val="right" w:leader="none" w:pos="10037"/>
        </w:tabs>
        <w:spacing w:after="120" w:before="0" w:line="360" w:lineRule="auto"/>
        <w:ind w:left="0" w:right="0" w:firstLine="0"/>
        <w:jc w:val="left"/>
        <w:rPr>
          <w:b w:val="0"/>
          <w:i w:val="0"/>
          <w:smallCaps w:val="0"/>
          <w:strike w:val="0"/>
          <w:color w:val="010000"/>
          <w:sz w:val="20"/>
          <w:szCs w:val="20"/>
          <w:u w:val="none"/>
          <w:shd w:fill="auto" w:val="clear"/>
          <w:vertAlign w:val="baseline"/>
          <w:rFonts w:ascii="Arial" w:cs="Arial" w:eastAsia="Arial" w:hAnsi="Arial"/>
        </w:rPr>
      </w:pPr>
      <w:r>
        <w:rPr>
          <w:color w:val="010000"/>
          <w:sz w:val="20"/>
          <w:rtl w:val="0"/>
          <w:rFonts w:ascii="Arial" w:hAnsi="Arial"/>
        </w:rPr>
        <w:t xml:space="preserve">Business results:</w:t>
      </w:r>
      <w:r>
        <w:rPr>
          <w:color w:val="010000"/>
          <w:sz w:val="20"/>
          <w:rtl w:val="0"/>
          <w:b w:val="0"/>
          <w:i w:val="0"/>
          <w:smallCaps w:val="0"/>
          <w:strike w:val="0"/>
          <w:u w:val="none"/>
          <w:shd w:fill="auto" w:val="clear"/>
          <w:vertAlign w:val="baseline"/>
          <w:rFonts w:ascii="Arial" w:hAnsi="Arial"/>
        </w:rPr>
        <w:t xml:space="preserve"> </w:t>
      </w:r>
      <w:r>
        <w:rPr>
          <w:color w:val="010000"/>
          <w:sz w:val="20"/>
          <w:rtl w:val="0"/>
          <w:rFonts w:ascii="Arial" w:hAnsi="Arial"/>
        </w:rPr>
        <w:t xml:space="preserve">Striving for efficiency and avoiding any losses.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2"/>
          <w:tab w:val="left" w:leader="none" w:pos="695"/>
          <w:tab w:val="right" w:leader="none" w:pos="10037"/>
        </w:tabs>
        <w:spacing w:after="120" w:before="0" w:line="360" w:lineRule="auto"/>
        <w:ind w:left="0" w:right="0" w:firstLine="0"/>
        <w:jc w:val="left"/>
        <w:rPr>
          <w:b w:val="0"/>
          <w:i w:val="0"/>
          <w:smallCaps w:val="0"/>
          <w:strike w:val="0"/>
          <w:color w:val="010000"/>
          <w:sz w:val="20"/>
          <w:szCs w:val="20"/>
          <w:u w:val="none"/>
          <w:shd w:fill="auto" w:val="clear"/>
          <w:vertAlign w:val="baseline"/>
          <w:rFonts w:ascii="Arial" w:cs="Arial" w:eastAsia="Arial" w:hAnsi="Arial"/>
        </w:rPr>
      </w:pP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The target for recovering bad debts is over VND 4 billion.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2"/>
        </w:tabs>
        <w:spacing w:after="120" w:before="0" w:line="360" w:lineRule="auto"/>
        <w:ind w:left="0" w:right="0" w:firstLine="0"/>
        <w:jc w:val="left"/>
        <w:rPr>
          <w:b w:val="0"/>
          <w:i w:val="0"/>
          <w:smallCaps w:val="0"/>
          <w:strike w:val="0"/>
          <w:color w:val="010000"/>
          <w:sz w:val="20"/>
          <w:szCs w:val="20"/>
          <w:u w:val="none"/>
          <w:shd w:fill="auto" w:val="clear"/>
          <w:vertAlign w:val="baseline"/>
          <w:rFonts w:ascii="Arial" w:cs="Arial" w:eastAsia="Arial" w:hAnsi="Arial"/>
        </w:rPr>
      </w:pPr>
      <w:r>
        <w:rPr>
          <w:color w:val="010000"/>
          <w:sz w:val="20"/>
          <w:rtl w:val="0"/>
          <w:rFonts w:ascii="Arial" w:hAnsi="Arial"/>
        </w:rPr>
        <w:t xml:space="preserve">Article 3:</w:t>
      </w:r>
      <w:r>
        <w:rPr>
          <w:color w:val="010000"/>
          <w:sz w:val="20"/>
          <w:rtl w:val="0"/>
          <w:b w:val="0"/>
          <w:i w:val="0"/>
          <w:smallCaps w:val="0"/>
          <w:strike w:val="0"/>
          <w:u w:val="none"/>
          <w:shd w:fill="auto" w:val="clear"/>
          <w:vertAlign w:val="baseline"/>
          <w:rFonts w:ascii="Arial" w:hAnsi="Arial"/>
        </w:rPr>
        <w:t xml:space="preserve"> </w:t>
      </w:r>
      <w:r>
        <w:rPr>
          <w:color w:val="010000"/>
          <w:sz w:val="20"/>
          <w:rtl w:val="0"/>
          <w:rFonts w:ascii="Arial" w:hAnsi="Arial"/>
        </w:rPr>
        <w:t xml:space="preserve">Approve the total remuneration of the Board of Directors and the Supervisory Board in 2023 and the plan for 2024: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9"/>
          <w:tab w:val="left" w:leader="none" w:pos="432"/>
        </w:tabs>
        <w:spacing w:after="120" w:before="0" w:line="360" w:lineRule="auto"/>
        <w:ind w:left="0" w:right="0" w:firstLine="0"/>
        <w:jc w:val="left"/>
        <w:rPr>
          <w:b w:val="0"/>
          <w:i w:val="0"/>
          <w:smallCaps w:val="0"/>
          <w:strike w:val="0"/>
          <w:color w:val="010000"/>
          <w:sz w:val="20"/>
          <w:szCs w:val="20"/>
          <w:u w:val="none"/>
          <w:shd w:fill="auto" w:val="clear"/>
          <w:vertAlign w:val="baseline"/>
          <w:rFonts w:ascii="Arial" w:cs="Arial" w:eastAsia="Arial" w:hAnsi="Arial"/>
        </w:rPr>
      </w:pP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Results 2023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65"/>
          <w:tab w:val="left" w:leader="none" w:pos="432"/>
        </w:tabs>
        <w:spacing w:after="120" w:before="0" w:line="360" w:lineRule="auto"/>
        <w:ind w:left="0" w:right="0" w:firstLine="0"/>
        <w:jc w:val="left"/>
        <w:rPr>
          <w:b w:val="0"/>
          <w:i w:val="0"/>
          <w:smallCaps w:val="0"/>
          <w:strike w:val="0"/>
          <w:color w:val="010000"/>
          <w:sz w:val="20"/>
          <w:szCs w:val="20"/>
          <w:u w:val="none"/>
          <w:shd w:fill="auto" w:val="clear"/>
          <w:vertAlign w:val="baseline"/>
          <w:rFonts w:ascii="Arial" w:cs="Arial" w:eastAsia="Arial" w:hAnsi="Arial"/>
        </w:rPr>
      </w:pP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The Board of Directors</w:t>
      </w: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 </w:t>
      </w: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VND 158,525,227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70"/>
          <w:tab w:val="left" w:leader="none" w:pos="432"/>
          <w:tab w:val="left" w:leader="none" w:pos="2398"/>
        </w:tabs>
        <w:spacing w:after="120" w:before="0" w:line="360" w:lineRule="auto"/>
        <w:ind w:left="0" w:right="0" w:firstLine="0"/>
        <w:jc w:val="left"/>
        <w:rPr>
          <w:b w:val="0"/>
          <w:i w:val="0"/>
          <w:smallCaps w:val="0"/>
          <w:strike w:val="0"/>
          <w:color w:val="010000"/>
          <w:sz w:val="20"/>
          <w:szCs w:val="20"/>
          <w:u w:val="none"/>
          <w:shd w:fill="auto" w:val="clear"/>
          <w:vertAlign w:val="baseline"/>
          <w:rFonts w:ascii="Arial" w:cs="Arial" w:eastAsia="Arial" w:hAnsi="Arial"/>
        </w:rPr>
      </w:pP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The Supervisory Board;</w:t>
      </w: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 </w:t>
      </w: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VND 36,500,000.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9"/>
          <w:tab w:val="left" w:leader="none" w:pos="432"/>
        </w:tabs>
        <w:spacing w:after="120" w:before="0" w:line="360" w:lineRule="auto"/>
        <w:ind w:left="0" w:right="0" w:firstLine="0"/>
        <w:jc w:val="left"/>
        <w:rPr>
          <w:b w:val="0"/>
          <w:i w:val="0"/>
          <w:smallCaps w:val="0"/>
          <w:strike w:val="0"/>
          <w:color w:val="010000"/>
          <w:sz w:val="20"/>
          <w:szCs w:val="20"/>
          <w:u w:val="none"/>
          <w:shd w:fill="auto" w:val="clear"/>
          <w:vertAlign w:val="baseline"/>
          <w:rFonts w:ascii="Arial" w:cs="Arial" w:eastAsia="Arial" w:hAnsi="Arial"/>
        </w:rPr>
      </w:pP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Plan 2024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70"/>
          <w:tab w:val="left" w:leader="none" w:pos="432"/>
        </w:tabs>
        <w:spacing w:after="120" w:before="0" w:line="360" w:lineRule="auto"/>
        <w:ind w:left="0" w:right="0" w:firstLine="0"/>
        <w:jc w:val="left"/>
        <w:rPr>
          <w:b w:val="0"/>
          <w:i w:val="0"/>
          <w:smallCaps w:val="0"/>
          <w:strike w:val="0"/>
          <w:color w:val="010000"/>
          <w:sz w:val="20"/>
          <w:szCs w:val="20"/>
          <w:u w:val="none"/>
          <w:shd w:fill="auto" w:val="clear"/>
          <w:vertAlign w:val="baseline"/>
          <w:rFonts w:ascii="Arial" w:cs="Arial" w:eastAsia="Arial" w:hAnsi="Arial"/>
        </w:rPr>
      </w:pPr>
      <w:r>
        <w:rPr>
          <w:color w:val="010000"/>
          <w:sz w:val="20"/>
          <w:rtl w:val="0"/>
          <w:rFonts w:ascii="Arial" w:hAnsi="Arial"/>
        </w:rPr>
        <w:t xml:space="preserve">The remuneration of the Board of Directors and the Supervisory Board is expected to increase by 10%-12% compared to the actual in 2023, associated with business efficiency.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2"/>
        </w:tabs>
        <w:spacing w:after="120" w:before="0" w:line="360" w:lineRule="auto"/>
        <w:ind w:left="0" w:right="0" w:firstLine="0"/>
        <w:jc w:val="left"/>
        <w:rPr>
          <w:b w:val="0"/>
          <w:i w:val="0"/>
          <w:smallCaps w:val="0"/>
          <w:strike w:val="0"/>
          <w:color w:val="010000"/>
          <w:sz w:val="20"/>
          <w:szCs w:val="20"/>
          <w:u w:val="none"/>
          <w:shd w:fill="auto" w:val="clear"/>
          <w:vertAlign w:val="baseline"/>
          <w:rFonts w:ascii="Arial" w:cs="Arial" w:eastAsia="Arial" w:hAnsi="Arial"/>
        </w:rPr>
      </w:pP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Article 4:</w:t>
      </w: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 </w:t>
      </w: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The General Meeting of Shareholders authorizes the Board of Directors to: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36"/>
          <w:tab w:val="left" w:leader="none" w:pos="432"/>
        </w:tabs>
        <w:spacing w:after="120" w:before="0" w:line="360" w:lineRule="auto"/>
        <w:ind w:left="0" w:right="0" w:firstLine="0"/>
        <w:jc w:val="left"/>
        <w:rPr>
          <w:b w:val="0"/>
          <w:i w:val="0"/>
          <w:smallCaps w:val="0"/>
          <w:strike w:val="0"/>
          <w:color w:val="010000"/>
          <w:sz w:val="20"/>
          <w:szCs w:val="20"/>
          <w:u w:val="none"/>
          <w:shd w:fill="auto" w:val="clear"/>
          <w:vertAlign w:val="baseline"/>
          <w:rFonts w:ascii="Arial" w:cs="Arial" w:eastAsia="Arial" w:hAnsi="Arial"/>
        </w:rPr>
      </w:pP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Transfer the right to claim some receivables to individuals corresponding to the amount advanced to the Company.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75"/>
          <w:tab w:val="left" w:leader="none" w:pos="432"/>
        </w:tabs>
        <w:spacing w:after="120" w:before="0" w:line="360" w:lineRule="auto"/>
        <w:ind w:left="0" w:right="0" w:firstLine="0"/>
        <w:jc w:val="left"/>
        <w:rPr>
          <w:b w:val="0"/>
          <w:i w:val="0"/>
          <w:smallCaps w:val="0"/>
          <w:strike w:val="0"/>
          <w:color w:val="010000"/>
          <w:sz w:val="20"/>
          <w:szCs w:val="20"/>
          <w:u w:val="none"/>
          <w:shd w:fill="auto" w:val="clear"/>
          <w:vertAlign w:val="baseline"/>
          <w:rFonts w:ascii="Arial" w:cs="Arial" w:eastAsia="Arial" w:hAnsi="Arial"/>
        </w:rPr>
      </w:pPr>
      <w:r>
        <w:rPr>
          <w:color w:val="010000"/>
          <w:sz w:val="20"/>
          <w:rtl w:val="0"/>
          <w:rFonts w:ascii="Arial" w:hAnsi="Arial"/>
        </w:rPr>
        <w:t xml:space="preserve">Offer 200,000 common shares with a par value of VND 10,000/share of the Company currently invested in Dap Cau Garment Joint Stock Company.</w:t>
      </w:r>
      <w:r>
        <w:rPr>
          <w:color w:val="010000"/>
          <w:sz w:val="20"/>
          <w:rtl w:val="0"/>
          <w:b w:val="0"/>
          <w:i w:val="0"/>
          <w:smallCaps w:val="0"/>
          <w:strike w:val="0"/>
          <w:u w:val="none"/>
          <w:shd w:fill="auto" w:val="clear"/>
          <w:vertAlign w:val="baseline"/>
          <w:rFonts w:ascii="Arial" w:hAnsi="Arial"/>
        </w:rPr>
        <w:t xml:space="preserve"> </w:t>
      </w:r>
      <w:r>
        <w:rPr>
          <w:color w:val="010000"/>
          <w:sz w:val="20"/>
          <w:rtl w:val="0"/>
          <w:b w:val="0"/>
          <w:i w:val="0"/>
          <w:smallCaps w:val="0"/>
          <w:strike w:val="0"/>
          <w:u w:val="none"/>
          <w:shd w:fill="auto" w:val="clear"/>
          <w:vertAlign w:val="baseline"/>
          <w:rFonts w:ascii="Arial" w:hAnsi="Arial"/>
        </w:rPr>
        <w:t xml:space="preserve">The offering complies with the charter and provisions of the law.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2"/>
        </w:tabs>
        <w:spacing w:after="120" w:before="0" w:line="360" w:lineRule="auto"/>
        <w:ind w:left="0" w:right="0" w:firstLine="0"/>
        <w:jc w:val="left"/>
        <w:rPr>
          <w:b w:val="0"/>
          <w:i w:val="0"/>
          <w:smallCaps w:val="0"/>
          <w:strike w:val="0"/>
          <w:color w:val="010000"/>
          <w:sz w:val="20"/>
          <w:szCs w:val="20"/>
          <w:u w:val="none"/>
          <w:shd w:fill="auto" w:val="clear"/>
          <w:vertAlign w:val="baseline"/>
          <w:rFonts w:ascii="Arial" w:cs="Arial" w:eastAsia="Arial" w:hAnsi="Arial"/>
        </w:rPr>
      </w:pPr>
      <w:r>
        <w:rPr>
          <w:color w:val="010000"/>
          <w:sz w:val="20"/>
          <w:rtl w:val="0"/>
          <w:b w:val="0"/>
          <w:i w:val="0"/>
          <w:smallCaps w:val="0"/>
          <w:strike w:val="0"/>
          <w:u w:val="none"/>
          <w:shd w:fill="auto" w:val="clear"/>
          <w:vertAlign w:val="baseline"/>
          <w:rFonts w:ascii="Arial" w:hAnsi="Arial"/>
        </w:rPr>
        <w:t xml:space="preserve">Article 5:</w:t>
      </w:r>
      <w:r>
        <w:rPr>
          <w:color w:val="010000"/>
          <w:sz w:val="20"/>
          <w:rtl w:val="0"/>
          <w:b w:val="0"/>
          <w:i w:val="0"/>
          <w:smallCaps w:val="0"/>
          <w:strike w:val="0"/>
          <w:u w:val="none"/>
          <w:shd w:fill="auto" w:val="clear"/>
          <w:vertAlign w:val="baseline"/>
          <w:rFonts w:ascii="Arial" w:hAnsi="Arial"/>
        </w:rPr>
        <w:t xml:space="preserve"> </w:t>
      </w:r>
      <w:r>
        <w:rPr>
          <w:color w:val="010000"/>
          <w:sz w:val="20"/>
          <w:rtl w:val="0"/>
          <w:rFonts w:ascii="Arial" w:hAnsi="Arial"/>
        </w:rPr>
        <w:t xml:space="preserve">Audit company for the Financial Statements in 2024: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2"/>
        </w:tabs>
        <w:spacing w:after="120" w:before="0" w:line="360" w:lineRule="auto"/>
        <w:ind w:left="0" w:right="0" w:firstLine="0"/>
        <w:jc w:val="left"/>
        <w:rPr>
          <w:b w:val="0"/>
          <w:i w:val="0"/>
          <w:smallCaps w:val="0"/>
          <w:strike w:val="0"/>
          <w:color w:val="010000"/>
          <w:sz w:val="20"/>
          <w:szCs w:val="20"/>
          <w:u w:val="none"/>
          <w:shd w:fill="auto" w:val="clear"/>
          <w:vertAlign w:val="baseline"/>
          <w:rFonts w:ascii="Arial" w:cs="Arial" w:eastAsia="Arial" w:hAnsi="Arial"/>
        </w:rPr>
      </w:pPr>
      <w:r>
        <w:rPr>
          <w:color w:val="010000"/>
          <w:sz w:val="20"/>
          <w:rtl w:val="0"/>
          <w:rFonts w:ascii="Arial" w:hAnsi="Arial"/>
        </w:rPr>
        <w:t xml:space="preserve">The General Meeting of Shareholders authorizes the Board of Directors of the Company to select one of the two audit companies: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2"/>
          <w:tab w:val="left" w:leader="none" w:pos="755"/>
        </w:tabs>
        <w:spacing w:after="120" w:before="0" w:line="360" w:lineRule="auto"/>
        <w:ind w:left="0" w:right="0" w:firstLine="0"/>
        <w:jc w:val="left"/>
        <w:rPr>
          <w:b w:val="0"/>
          <w:i w:val="0"/>
          <w:smallCaps w:val="0"/>
          <w:strike w:val="0"/>
          <w:color w:val="010000"/>
          <w:sz w:val="20"/>
          <w:szCs w:val="20"/>
          <w:u w:val="none"/>
          <w:shd w:fill="auto" w:val="clear"/>
          <w:vertAlign w:val="baseline"/>
          <w:rFonts w:ascii="Arial" w:cs="Arial" w:eastAsia="Arial" w:hAnsi="Arial"/>
        </w:rPr>
      </w:pP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An Viet Auditing Company Limited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2"/>
          <w:tab w:val="left" w:leader="none" w:pos="755"/>
        </w:tabs>
        <w:spacing w:after="120" w:before="0" w:line="360" w:lineRule="auto"/>
        <w:ind w:left="0" w:right="0" w:firstLine="0"/>
        <w:jc w:val="left"/>
        <w:rPr>
          <w:b w:val="0"/>
          <w:i w:val="0"/>
          <w:smallCaps w:val="0"/>
          <w:strike w:val="0"/>
          <w:color w:val="010000"/>
          <w:sz w:val="20"/>
          <w:szCs w:val="20"/>
          <w:u w:val="none"/>
          <w:shd w:fill="auto" w:val="clear"/>
          <w:vertAlign w:val="baseline"/>
          <w:rFonts w:ascii="Arial" w:cs="Arial" w:eastAsia="Arial" w:hAnsi="Arial"/>
        </w:rPr>
      </w:pPr>
      <w:r>
        <w:rPr>
          <w:b w:val="0"/>
          <w:i w:val="0"/>
          <w:smallCaps w:val="0"/>
          <w:strike w:val="0"/>
          <w:color w:val="010000"/>
          <w:sz w:val="20"/>
          <w:u w:val="none"/>
          <w:shd w:fill="auto" w:val="clear"/>
          <w:vertAlign w:val="baseline"/>
          <w:rtl w:val="0"/>
          <w:rFonts w:ascii="Arial" w:hAnsi="Arial"/>
        </w:rPr>
        <w:t xml:space="preserve">KPMG Limited.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2"/>
        </w:tabs>
        <w:spacing w:after="120" w:before="0" w:line="360" w:lineRule="auto"/>
        <w:ind w:left="0" w:right="0" w:firstLine="0"/>
        <w:jc w:val="left"/>
        <w:rPr>
          <w:b w:val="0"/>
          <w:i w:val="0"/>
          <w:smallCaps w:val="0"/>
          <w:strike w:val="0"/>
          <w:color w:val="010000"/>
          <w:sz w:val="20"/>
          <w:szCs w:val="20"/>
          <w:u w:val="none"/>
          <w:shd w:fill="auto" w:val="clear"/>
          <w:vertAlign w:val="baseline"/>
          <w:rFonts w:ascii="Arial" w:cs="Arial" w:eastAsia="Arial" w:hAnsi="Arial"/>
        </w:rPr>
      </w:pPr>
      <w:r>
        <w:rPr>
          <w:color w:val="010000"/>
          <w:sz w:val="20"/>
          <w:rtl w:val="0"/>
          <w:rFonts w:ascii="Arial" w:hAnsi="Arial"/>
        </w:rPr>
        <w:t xml:space="preserve">The General Mandate was approved by the Annual General Meeting of Shareholders in 2024 of Textile-Garment Import-Export and Production Joint Stock Corporation (VINATEXIMEX) on April 26, 2024.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2"/>
        </w:tabs>
        <w:spacing w:after="120" w:before="0" w:line="360" w:lineRule="auto"/>
        <w:ind w:left="0" w:right="0" w:firstLine="0"/>
        <w:jc w:val="left"/>
        <w:sectPr>
          <w:pgSz w:h="16840" w:w="11909" w:orient="portrait"/>
          <w:pgMar w:bottom="1440" w:top="1440" w:left="1440" w:right="1440" w:header="0" w:footer="3"/>
          <w:pgNumType w:start="1"/>
        </w:sectPr>
        <w:rPr>
          <w:b w:val="0"/>
          <w:i w:val="0"/>
          <w:smallCaps w:val="0"/>
          <w:strike w:val="0"/>
          <w:color w:val="010000"/>
          <w:sz w:val="20"/>
          <w:szCs w:val="20"/>
          <w:u w:val="none"/>
          <w:shd w:fill="auto" w:val="clear"/>
          <w:vertAlign w:val="baseline"/>
          <w:rFonts w:ascii="Arial" w:cs="Arial" w:eastAsia="Arial" w:hAnsi="Arial"/>
        </w:rPr>
      </w:pPr>
      <w:r>
        <w:rPr>
          <w:color w:val="010000"/>
          <w:sz w:val="20"/>
          <w:rtl w:val="0"/>
          <w:rFonts w:ascii="Arial" w:hAnsi="Arial"/>
        </w:rPr>
        <w:t xml:space="preserve">The General Mandate is effective from April 26, 2024, the Board of Directors of Textile-Garment Import-Export and Production Joint Stock Corporation (VINATEXIMEX) is responsible for organizing and leading the Company to implement the contents of this General Mandate.</w:t>
      </w:r>
    </w:p>
    <w:p w:rsidR="00000000" w:rsidDel="00000000" w:rsidP="00000000" w:rsidRDefault="00000000" w:rsidRPr="00000000" w14:paraId="0000001C">
      <w:pPr>
        <w:tabs>
          <w:tab w:val="left" w:leader="none" w:pos="432"/>
        </w:tabs>
        <w:spacing w:after="120" w:line="360" w:lineRule="auto"/>
        <w:rPr>
          <w:rFonts w:ascii="Arial" w:cs="Arial" w:eastAsia="Arial" w:hAnsi="Arial"/>
          <w:color w:val="01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6840" w:w="11909" w:orient="portrait"/>
      <w:pgMar w:bottom="1440" w:top="1440" w:left="1440" w:right="1440" w:header="0" w:footer="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urier New"/>
  <w:font w:name="Georgia"/>
  <w:font w:name="Arial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>
        <w:rFonts w:ascii="Arial" w:cs="Arial" w:eastAsia="Arial" w:hAnsi="Arial"/>
        <w:b w:val="0"/>
        <w:i w:val="0"/>
        <w:sz w:val="20"/>
        <w:szCs w:val="20"/>
      </w:rPr>
    </w:lvl>
    <w:lvl w:ilvl="2">
      <w:start w:val="0"/>
      <w:numFmt w:val="decimal"/>
      <w:lvlText w:val=""/>
      <w:lvlJc w:val="left"/>
      <w:pPr>
        <w:ind w:left="0" w:firstLine="0"/>
      </w:pPr>
      <w:rPr>
        <w:rFonts w:ascii="Arial" w:cs="Arial" w:eastAsia="Arial" w:hAnsi="Arial"/>
        <w:b w:val="0"/>
        <w:i w:val="0"/>
        <w:sz w:val="20"/>
        <w:szCs w:val="20"/>
      </w:rPr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*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>
        <w:rFonts w:ascii="Arial" w:cs="Arial" w:eastAsia="Arial" w:hAnsi="Arial"/>
        <w:b w:val="0"/>
        <w:i w:val="0"/>
        <w:sz w:val="20"/>
        <w:szCs w:val="20"/>
      </w:rPr>
    </w:lvl>
    <w:lvl w:ilvl="2">
      <w:start w:val="0"/>
      <w:numFmt w:val="decimal"/>
      <w:lvlText w:val=""/>
      <w:lvlJc w:val="left"/>
      <w:pPr>
        <w:ind w:left="0" w:firstLine="0"/>
      </w:pPr>
      <w:rPr>
        <w:rFonts w:ascii="Arial" w:cs="Arial" w:eastAsia="Arial" w:hAnsi="Arial"/>
        <w:b w:val="0"/>
        <w:i w:val="0"/>
        <w:sz w:val="20"/>
        <w:szCs w:val="20"/>
      </w:rPr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>
        <w:rFonts w:ascii="Arial" w:cs="Arial" w:eastAsia="Arial" w:hAnsi="Arial"/>
        <w:b w:val="0"/>
        <w:i w:val="0"/>
        <w:sz w:val="20"/>
        <w:szCs w:val="20"/>
      </w:rPr>
    </w:lvl>
    <w:lvl w:ilvl="2">
      <w:start w:val="0"/>
      <w:numFmt w:val="decimal"/>
      <w:lvlText w:val=""/>
      <w:lvlJc w:val="left"/>
      <w:pPr>
        <w:ind w:left="0" w:firstLine="0"/>
      </w:pPr>
      <w:rPr>
        <w:rFonts w:ascii="Arial" w:cs="Arial" w:eastAsia="Arial" w:hAnsi="Arial"/>
        <w:b w:val="0"/>
        <w:i w:val="0"/>
        <w:sz w:val="20"/>
        <w:szCs w:val="20"/>
      </w:rPr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urier New" w:cs="Courier New" w:eastAsia="Courier New" w:hAnsi="Courier New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color w:val="00000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Vnbnnidung2" w:customStyle="1">
    <w:name w:val="Văn bản nội dung (2)_"/>
    <w:basedOn w:val="DefaultParagraphFont"/>
    <w:link w:val="Vnbnnidung20"/>
    <w:rPr>
      <w:rFonts w:ascii="Times New Roman" w:cs="Times New Roman" w:eastAsia="Times New Roman" w:hAnsi="Times New Roman"/>
      <w:b w:val="1"/>
      <w:bCs w:val="1"/>
      <w:i w:val="0"/>
      <w:iCs w:val="0"/>
      <w:smallCaps w:val="0"/>
      <w:strike w:val="0"/>
      <w:sz w:val="22"/>
      <w:szCs w:val="22"/>
      <w:u w:val="none"/>
      <w:shd w:color="auto" w:fill="auto" w:val="clear"/>
    </w:rPr>
  </w:style>
  <w:style w:type="character" w:styleId="Vnbnnidung" w:customStyle="1">
    <w:name w:val="Văn bản nội dung_"/>
    <w:basedOn w:val="DefaultParagraphFont"/>
    <w:link w:val="Vnbnnidung0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sz w:val="26"/>
      <w:szCs w:val="26"/>
      <w:u w:val="none"/>
      <w:shd w:color="auto" w:fill="auto" w:val="clear"/>
    </w:rPr>
  </w:style>
  <w:style w:type="character" w:styleId="Tiu1" w:customStyle="1">
    <w:name w:val="Tiêu đề #1_"/>
    <w:basedOn w:val="DefaultParagraphFont"/>
    <w:link w:val="Tiu10"/>
    <w:rPr>
      <w:rFonts w:ascii="Times New Roman" w:cs="Times New Roman" w:eastAsia="Times New Roman" w:hAnsi="Times New Roman"/>
      <w:b w:val="1"/>
      <w:bCs w:val="1"/>
      <w:i w:val="0"/>
      <w:iCs w:val="0"/>
      <w:smallCaps w:val="0"/>
      <w:strike w:val="0"/>
      <w:sz w:val="28"/>
      <w:szCs w:val="28"/>
      <w:u w:val="none"/>
      <w:shd w:color="auto" w:fill="auto" w:val="clear"/>
    </w:rPr>
  </w:style>
  <w:style w:type="character" w:styleId="Vnbnnidung3" w:customStyle="1">
    <w:name w:val="Văn bản nội dung (3)_"/>
    <w:basedOn w:val="DefaultParagraphFont"/>
    <w:link w:val="Vnbnnidung30"/>
    <w:rPr>
      <w:rFonts w:ascii="Arial" w:cs="Arial" w:eastAsia="Arial" w:hAnsi="Arial"/>
      <w:b w:val="1"/>
      <w:bCs w:val="1"/>
      <w:i w:val="0"/>
      <w:iCs w:val="0"/>
      <w:smallCaps w:val="0"/>
      <w:strike w:val="0"/>
      <w:sz w:val="16"/>
      <w:szCs w:val="16"/>
      <w:u w:val="none"/>
      <w:shd w:color="auto" w:fill="auto" w:val="clear"/>
    </w:rPr>
  </w:style>
  <w:style w:type="character" w:styleId="Vnbnnidung4" w:customStyle="1">
    <w:name w:val="Văn bản nội dung (4)_"/>
    <w:basedOn w:val="DefaultParagraphFont"/>
    <w:link w:val="Vnbnnidung40"/>
    <w:rPr>
      <w:rFonts w:ascii="Arial" w:cs="Arial" w:eastAsia="Arial" w:hAnsi="Arial"/>
      <w:b w:val="1"/>
      <w:bCs w:val="1"/>
      <w:i w:val="0"/>
      <w:iCs w:val="0"/>
      <w:smallCaps w:val="0"/>
      <w:strike w:val="0"/>
      <w:sz w:val="14"/>
      <w:szCs w:val="14"/>
      <w:u w:val="none"/>
      <w:shd w:color="auto" w:fill="auto" w:val="clear"/>
    </w:rPr>
  </w:style>
  <w:style w:type="character" w:styleId="Vnbnnidung5" w:customStyle="1">
    <w:name w:val="Văn bản nội dung (5)_"/>
    <w:basedOn w:val="DefaultParagraphFont"/>
    <w:link w:val="Vnbnnidung50"/>
    <w:rPr>
      <w:rFonts w:ascii="Arial" w:cs="Arial" w:eastAsia="Arial" w:hAnsi="Arial"/>
      <w:b w:val="0"/>
      <w:bCs w:val="0"/>
      <w:i w:val="0"/>
      <w:iCs w:val="0"/>
      <w:smallCaps w:val="0"/>
      <w:strike w:val="0"/>
      <w:sz w:val="20"/>
      <w:szCs w:val="20"/>
      <w:u w:val="none"/>
      <w:shd w:color="auto" w:fill="auto" w:val="clear"/>
    </w:rPr>
  </w:style>
  <w:style w:type="paragraph" w:styleId="Vnbnnidung20" w:customStyle="1">
    <w:name w:val="Văn bản nội dung (2)"/>
    <w:basedOn w:val="Normal"/>
    <w:link w:val="Vnbnnidung2"/>
    <w:pPr>
      <w:ind w:firstLine="340"/>
    </w:pPr>
    <w:rPr>
      <w:rFonts w:ascii="Times New Roman" w:cs="Times New Roman" w:eastAsia="Times New Roman" w:hAnsi="Times New Roman"/>
      <w:b w:val="1"/>
      <w:bCs w:val="1"/>
      <w:sz w:val="22"/>
      <w:szCs w:val="22"/>
    </w:rPr>
  </w:style>
  <w:style w:type="paragraph" w:styleId="Vnbnnidung0" w:customStyle="1">
    <w:name w:val="Văn bản nội dung"/>
    <w:basedOn w:val="Normal"/>
    <w:link w:val="Vnbnnidung"/>
    <w:rPr>
      <w:rFonts w:ascii="Times New Roman" w:cs="Times New Roman" w:eastAsia="Times New Roman" w:hAnsi="Times New Roman"/>
      <w:sz w:val="26"/>
      <w:szCs w:val="26"/>
    </w:rPr>
  </w:style>
  <w:style w:type="paragraph" w:styleId="Tiu10" w:customStyle="1">
    <w:name w:val="Tiêu đề #1"/>
    <w:basedOn w:val="Normal"/>
    <w:link w:val="Tiu1"/>
    <w:pPr>
      <w:jc w:val="center"/>
      <w:outlineLvl w:val="0"/>
    </w:pPr>
    <w:rPr>
      <w:rFonts w:ascii="Times New Roman" w:cs="Times New Roman" w:eastAsia="Times New Roman" w:hAnsi="Times New Roman"/>
      <w:b w:val="1"/>
      <w:bCs w:val="1"/>
      <w:sz w:val="28"/>
      <w:szCs w:val="28"/>
    </w:rPr>
  </w:style>
  <w:style w:type="paragraph" w:styleId="Vnbnnidung30" w:customStyle="1">
    <w:name w:val="Văn bản nội dung (3)"/>
    <w:basedOn w:val="Normal"/>
    <w:link w:val="Vnbnnidung3"/>
    <w:rPr>
      <w:rFonts w:ascii="Arial" w:cs="Arial" w:eastAsia="Arial" w:hAnsi="Arial"/>
      <w:b w:val="1"/>
      <w:bCs w:val="1"/>
      <w:sz w:val="16"/>
      <w:szCs w:val="16"/>
    </w:rPr>
  </w:style>
  <w:style w:type="paragraph" w:styleId="Vnbnnidung40" w:customStyle="1">
    <w:name w:val="Văn bản nội dung (4)"/>
    <w:basedOn w:val="Normal"/>
    <w:link w:val="Vnbnnidung4"/>
    <w:rPr>
      <w:rFonts w:ascii="Arial" w:cs="Arial" w:eastAsia="Arial" w:hAnsi="Arial"/>
      <w:b w:val="1"/>
      <w:bCs w:val="1"/>
      <w:sz w:val="14"/>
      <w:szCs w:val="14"/>
    </w:rPr>
  </w:style>
  <w:style w:type="paragraph" w:styleId="Vnbnnidung50" w:customStyle="1">
    <w:name w:val="Văn bản nội dung (5)"/>
    <w:basedOn w:val="Normal"/>
    <w:link w:val="Vnbnnidung5"/>
    <w:pPr>
      <w:jc w:val="center"/>
    </w:pPr>
    <w:rPr>
      <w:rFonts w:ascii="Arial" w:cs="Arial" w:eastAsia="Arial" w:hAnsi="Arial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HA+jkLhJx7GSxhDegw5W2K71QA==">CgMxLjA4AHIhMVZBR2FuNjhZRkR4ZThTaU5JNXh5NkNtc1QtZnpuOFk4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2024-05-04T04:48:00Z</dcterms:created>
</cp:coreProperties>
</file>