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4877" w:rsidRDefault="005F1F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295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YTC: Board Resolution</w:t>
      </w:r>
    </w:p>
    <w:p w14:paraId="00000002" w14:textId="77777777" w:rsidR="003F4877" w:rsidRDefault="005F1F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26, 2024, Ho Chi Minh City Medical Import Export Joint Stock Company announced Resolution No. 10/2024/NQ-HDQT as follows:</w:t>
      </w:r>
    </w:p>
    <w:p w14:paraId="00000003" w14:textId="77777777" w:rsidR="003F4877" w:rsidRDefault="005F1F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Approve the Meeting Agenda and all meeting documents submitted to the Annual General Meeting of Shareholders in 20</w:t>
      </w:r>
      <w:r>
        <w:rPr>
          <w:rFonts w:ascii="Arial" w:hAnsi="Arial"/>
          <w:color w:val="010000"/>
          <w:sz w:val="20"/>
        </w:rPr>
        <w:t>24.</w:t>
      </w:r>
    </w:p>
    <w:p w14:paraId="00000005" w14:textId="63E4B639" w:rsidR="003F4877" w:rsidRDefault="005F1F14" w:rsidP="005F1F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Approve the expected personnel to organize the Annual General Meeting of Shareholders in 2024 as follows:</w:t>
      </w:r>
    </w:p>
    <w:p w14:paraId="00000006" w14:textId="77777777" w:rsidR="003F4877" w:rsidRDefault="005F1F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Presidium: consisting of 03 personnel as follows:</w:t>
      </w:r>
    </w:p>
    <w:p w14:paraId="00000007" w14:textId="77777777" w:rsidR="003F4877" w:rsidRDefault="005F1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Mr. Nguyen Khanh Linh - Chair of the Board of Directors - Head of the Organizing Committee</w:t>
      </w:r>
    </w:p>
    <w:p w14:paraId="00000008" w14:textId="77777777" w:rsidR="003F4877" w:rsidRDefault="005F1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Mr. Le Van Thien - Vice Chair of the Board of Directors</w:t>
      </w:r>
    </w:p>
    <w:p w14:paraId="00000009" w14:textId="77777777" w:rsidR="003F4877" w:rsidRDefault="005F1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Mr. Phan Minh Trung - Member of the Board of Directors &amp; General Manager - Deputy Head of the Organizing Committee</w:t>
      </w:r>
    </w:p>
    <w:p w14:paraId="0000000A" w14:textId="77777777" w:rsidR="003F4877" w:rsidRDefault="005F1F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Shareholder's Eligibility Verification Committee consisting of 02 personnel as follows:</w:t>
      </w:r>
    </w:p>
    <w:p w14:paraId="0000000B" w14:textId="77777777" w:rsidR="003F4877" w:rsidRDefault="005F1F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Mr. Nguyen Hoang Giang - Chief of the Supervisory Boa</w:t>
      </w:r>
      <w:r>
        <w:rPr>
          <w:rFonts w:ascii="Arial" w:hAnsi="Arial"/>
          <w:color w:val="010000"/>
          <w:sz w:val="20"/>
        </w:rPr>
        <w:t>rd - Head of the Committee</w:t>
      </w:r>
    </w:p>
    <w:p w14:paraId="0000000C" w14:textId="77777777" w:rsidR="003F4877" w:rsidRDefault="005F1F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2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Ms. Tran Thi Nhan - Deputy General Manager</w:t>
      </w:r>
    </w:p>
    <w:p w14:paraId="0000000D" w14:textId="77777777" w:rsidR="003F4877" w:rsidRDefault="005F1F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Secretariat and the Vote Counting Committee will be assigned and designated later and will be submitted to the General Meeting of Shareholders for approval on the meeting date.</w:t>
      </w:r>
    </w:p>
    <w:p w14:paraId="0000000E" w14:textId="77777777" w:rsidR="003F4877" w:rsidRDefault="005F1F1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This Resolution takes effect from the date of its signing. The B</w:t>
      </w:r>
      <w:r>
        <w:rPr>
          <w:rFonts w:ascii="Arial" w:hAnsi="Arial"/>
          <w:color w:val="010000"/>
          <w:sz w:val="20"/>
        </w:rPr>
        <w:t>oard of Directors, the Executive Board, departments, and related individuals of Ho Chi Minh City Medical Import Export Joint Stock Company are responsible for implementing this Resolution.</w:t>
      </w:r>
    </w:p>
    <w:p w14:paraId="0000000F" w14:textId="77777777" w:rsidR="003F4877" w:rsidRDefault="003F4877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3F4877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663B4"/>
    <w:multiLevelType w:val="multilevel"/>
    <w:tmpl w:val="5E4E4C98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C6D433C"/>
    <w:multiLevelType w:val="multilevel"/>
    <w:tmpl w:val="203E4148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CD82BCE"/>
    <w:multiLevelType w:val="multilevel"/>
    <w:tmpl w:val="76086B3C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77"/>
    <w:rsid w:val="003F4877"/>
    <w:rsid w:val="005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A263"/>
  <w15:docId w15:val="{499EA94A-BB7E-4204-A5FA-BF61B6C1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kgoBxATrd1Ilrc5I9kE+w1cYMw==">CgMxLjA4AHIhMXZGZ2xPT2htRGFjbG81dm12R2hmVEpJSDRXWXNMZGlZ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2</cp:revision>
  <dcterms:created xsi:type="dcterms:W3CDTF">2024-05-04T11:03:00Z</dcterms:created>
  <dcterms:modified xsi:type="dcterms:W3CDTF">2024-05-06T02:22:00Z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762c62bec3cdfc5e6c99c8c8dddd6c83e4d4a31e6223296748a8ab3e5d9f44cb</vt:lpwstr>
  </property>
</Properties>
</file>