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b/>
          <w:sz w:val="20"/>
          <w:szCs w:val="20"/>
        </w:rPr>
      </w:pPr>
      <w:r>
        <w:rPr>
          <w:rFonts w:ascii="Arial" w:hAnsi="Arial"/>
          <w:b/>
          <w:sz w:val="20"/>
        </w:rPr>
        <w:t>AFX: Annual General Mandate 2024</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On April 27, 2024, An Giang Agriculture and Food Import - Export Joint Stock Company announced General Mandate No. 12/2024/NQ.DHDCD as follows:</w:t>
      </w:r>
      <w:r>
        <w:rPr>
          <w:rFonts w:ascii="Arial" w:hAnsi="Arial"/>
          <w:sz w:val="20"/>
        </w:rPr>
        <w:t xml:space="preserve"> </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1. </w:t>
      </w:r>
      <w:r>
        <w:rPr>
          <w:rFonts w:ascii="Arial" w:hAnsi="Arial"/>
          <w:sz w:val="20"/>
        </w:rPr>
        <w:t>Approve the Report of the Board of Directors on operating results in 2023 and operating directions in 2024.</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2. </w:t>
      </w:r>
      <w:r>
        <w:rPr>
          <w:rFonts w:ascii="Arial" w:hAnsi="Arial"/>
          <w:sz w:val="20"/>
        </w:rPr>
        <w:t xml:space="preserve">Approve the Report of the Board of Management on the production and business results of </w:t>
      </w:r>
      <w:r>
        <w:rPr>
          <w:rFonts w:ascii="Arial" w:hAnsi="Arial"/>
          <w:sz w:val="20"/>
        </w:rPr>
        <w:t>2023 with the following basic targets:</w:t>
      </w:r>
    </w:p>
    <w:tbl>
      <w:tblPr>
        <w:tblStyle w:val="a"/>
        <w:tblW w:w="9019" w:type="dxa"/>
        <w:tblLayout w:type="fixed"/>
        <w:tblLook w:val="0000" w:firstRow="0" w:lastRow="0" w:firstColumn="0" w:lastColumn="0" w:noHBand="0" w:noVBand="0"/>
      </w:tblPr>
      <w:tblGrid>
        <w:gridCol w:w="3728"/>
        <w:gridCol w:w="1109"/>
        <w:gridCol w:w="1382"/>
        <w:gridCol w:w="1389"/>
        <w:gridCol w:w="1411"/>
      </w:tblGrid>
      <w:tr w:rsidR="004B16E6">
        <w:trPr>
          <w:trHeight w:val="610"/>
        </w:trPr>
        <w:tc>
          <w:tcPr>
            <w:tcW w:w="3728" w:type="dxa"/>
            <w:tcBorders>
              <w:top w:val="single" w:sz="4" w:space="0" w:color="000000"/>
              <w:left w:val="single" w:sz="4" w:space="0" w:color="000000"/>
            </w:tcBorders>
            <w:shd w:val="clear" w:color="auto" w:fill="FFFFFF"/>
            <w:tcMar>
              <w:top w:w="0" w:type="dxa"/>
              <w:bottom w:w="0" w:type="dxa"/>
            </w:tcMar>
            <w:vAlign w:val="center"/>
          </w:tcPr>
          <w:p w:rsidR="004B16E6" w:rsidRPr="00945EE3"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b/>
                <w:sz w:val="20"/>
                <w:szCs w:val="20"/>
              </w:rPr>
            </w:pPr>
            <w:r w:rsidRPr="00945EE3">
              <w:rPr>
                <w:rFonts w:ascii="Arial" w:hAnsi="Arial"/>
                <w:b/>
                <w:sz w:val="20"/>
              </w:rPr>
              <w:t>Targets</w:t>
            </w:r>
          </w:p>
        </w:tc>
        <w:tc>
          <w:tcPr>
            <w:tcW w:w="1109" w:type="dxa"/>
            <w:tcBorders>
              <w:top w:val="single" w:sz="4" w:space="0" w:color="000000"/>
              <w:left w:val="single" w:sz="4" w:space="0" w:color="000000"/>
            </w:tcBorders>
            <w:shd w:val="clear" w:color="auto" w:fill="FFFFFF"/>
            <w:tcMar>
              <w:top w:w="0" w:type="dxa"/>
              <w:bottom w:w="0" w:type="dxa"/>
            </w:tcMar>
            <w:vAlign w:val="center"/>
          </w:tcPr>
          <w:p w:rsidR="004B16E6" w:rsidRPr="00945EE3"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b/>
                <w:sz w:val="20"/>
                <w:szCs w:val="20"/>
              </w:rPr>
            </w:pPr>
            <w:r w:rsidRPr="00945EE3">
              <w:rPr>
                <w:rFonts w:ascii="Arial" w:hAnsi="Arial"/>
                <w:b/>
                <w:sz w:val="20"/>
              </w:rPr>
              <w:t>Unit</w:t>
            </w:r>
          </w:p>
        </w:tc>
        <w:tc>
          <w:tcPr>
            <w:tcW w:w="1382" w:type="dxa"/>
            <w:tcBorders>
              <w:top w:val="single" w:sz="4" w:space="0" w:color="000000"/>
              <w:left w:val="single" w:sz="4" w:space="0" w:color="000000"/>
            </w:tcBorders>
            <w:shd w:val="clear" w:color="auto" w:fill="FFFFFF"/>
            <w:tcMar>
              <w:top w:w="0" w:type="dxa"/>
              <w:bottom w:w="0" w:type="dxa"/>
            </w:tcMar>
            <w:vAlign w:val="bottom"/>
          </w:tcPr>
          <w:p w:rsidR="004B16E6" w:rsidRPr="00945EE3"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b/>
                <w:sz w:val="20"/>
                <w:szCs w:val="20"/>
              </w:rPr>
            </w:pPr>
            <w:r w:rsidRPr="00945EE3">
              <w:rPr>
                <w:rFonts w:ascii="Arial" w:hAnsi="Arial"/>
                <w:b/>
                <w:sz w:val="20"/>
              </w:rPr>
              <w:t>Results 2023</w:t>
            </w:r>
          </w:p>
        </w:tc>
        <w:tc>
          <w:tcPr>
            <w:tcW w:w="1389" w:type="dxa"/>
            <w:tcBorders>
              <w:top w:val="single" w:sz="4" w:space="0" w:color="000000"/>
              <w:left w:val="single" w:sz="4" w:space="0" w:color="000000"/>
            </w:tcBorders>
            <w:shd w:val="clear" w:color="auto" w:fill="FFFFFF"/>
            <w:tcMar>
              <w:top w:w="0" w:type="dxa"/>
              <w:bottom w:w="0" w:type="dxa"/>
            </w:tcMar>
            <w:vAlign w:val="bottom"/>
          </w:tcPr>
          <w:p w:rsidR="004B16E6" w:rsidRPr="00945EE3"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b/>
                <w:sz w:val="20"/>
                <w:szCs w:val="20"/>
              </w:rPr>
            </w:pPr>
            <w:r w:rsidRPr="00945EE3">
              <w:rPr>
                <w:rFonts w:ascii="Arial" w:hAnsi="Arial"/>
                <w:b/>
                <w:sz w:val="20"/>
              </w:rPr>
              <w:t>Plan 2023</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4B16E6" w:rsidRPr="00945EE3"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b/>
                <w:sz w:val="20"/>
                <w:szCs w:val="20"/>
              </w:rPr>
            </w:pPr>
            <w:r w:rsidRPr="00945EE3">
              <w:rPr>
                <w:rFonts w:ascii="Arial" w:hAnsi="Arial"/>
                <w:b/>
                <w:sz w:val="20"/>
              </w:rPr>
              <w:t>Results/Plan (%)</w:t>
            </w:r>
          </w:p>
        </w:tc>
      </w:tr>
      <w:tr w:rsidR="004B16E6">
        <w:trPr>
          <w:trHeight w:val="336"/>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Total net revenue</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Million VND</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2,160,259</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2,558,719</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84.43</w:t>
            </w:r>
          </w:p>
        </w:tc>
      </w:tr>
      <w:tr w:rsidR="004B16E6">
        <w:trPr>
          <w:trHeight w:val="343"/>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Total expense</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Million VND</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2,127,475</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2,521,762</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84.36</w:t>
            </w:r>
          </w:p>
        </w:tc>
      </w:tr>
      <w:tr w:rsidR="004B16E6">
        <w:trPr>
          <w:trHeight w:val="322"/>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Profit before tax</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Million VND</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32,784</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36,957</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88.71</w:t>
            </w:r>
          </w:p>
        </w:tc>
      </w:tr>
      <w:tr w:rsidR="004B16E6">
        <w:trPr>
          <w:trHeight w:val="343"/>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Corporate income tax</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Million VND</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6,268</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7,391</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84.81</w:t>
            </w:r>
          </w:p>
        </w:tc>
      </w:tr>
      <w:tr w:rsidR="004B16E6">
        <w:trPr>
          <w:trHeight w:val="315"/>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Profit after tax</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Million VND</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26,516</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29,566</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89.68</w:t>
            </w:r>
          </w:p>
        </w:tc>
      </w:tr>
      <w:tr w:rsidR="004B16E6">
        <w:trPr>
          <w:trHeight w:val="329"/>
        </w:trPr>
        <w:tc>
          <w:tcPr>
            <w:tcW w:w="3728" w:type="dxa"/>
            <w:tcBorders>
              <w:top w:val="single" w:sz="4" w:space="0" w:color="000000"/>
              <w:left w:val="single" w:sz="4" w:space="0" w:color="000000"/>
            </w:tcBorders>
            <w:shd w:val="clear" w:color="auto" w:fill="FFFFFF"/>
            <w:tcMar>
              <w:top w:w="0" w:type="dxa"/>
              <w:bottom w:w="0" w:type="dxa"/>
            </w:tcMar>
            <w:vAlign w:val="bottom"/>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Rice export</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4B16E6" w:rsidP="00945EE3">
            <w:pPr>
              <w:tabs>
                <w:tab w:val="left" w:pos="284"/>
              </w:tabs>
              <w:spacing w:after="120" w:line="360" w:lineRule="auto"/>
              <w:jc w:val="both"/>
              <w:rPr>
                <w:rFonts w:ascii="Arial" w:eastAsia="Arial" w:hAnsi="Arial" w:cs="Arial"/>
                <w:sz w:val="20"/>
                <w:szCs w:val="20"/>
              </w:rPr>
            </w:pP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4B16E6" w:rsidP="00945EE3">
            <w:pPr>
              <w:tabs>
                <w:tab w:val="left" w:pos="284"/>
              </w:tabs>
              <w:spacing w:after="120" w:line="360" w:lineRule="auto"/>
              <w:jc w:val="both"/>
              <w:rPr>
                <w:rFonts w:ascii="Arial" w:eastAsia="Arial" w:hAnsi="Arial" w:cs="Arial"/>
                <w:sz w:val="20"/>
                <w:szCs w:val="20"/>
              </w:rPr>
            </w:pP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4B16E6" w:rsidP="00945EE3">
            <w:pPr>
              <w:tabs>
                <w:tab w:val="left" w:pos="284"/>
              </w:tabs>
              <w:spacing w:after="120" w:line="360" w:lineRule="auto"/>
              <w:jc w:val="both"/>
              <w:rPr>
                <w:rFonts w:ascii="Arial" w:eastAsia="Arial" w:hAnsi="Arial" w:cs="Arial"/>
                <w:sz w:val="20"/>
                <w:szCs w:val="20"/>
              </w:rPr>
            </w:pP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4B16E6" w:rsidP="00945EE3">
            <w:pPr>
              <w:tabs>
                <w:tab w:val="left" w:pos="284"/>
              </w:tabs>
              <w:spacing w:after="120" w:line="360" w:lineRule="auto"/>
              <w:jc w:val="both"/>
              <w:rPr>
                <w:rFonts w:ascii="Arial" w:eastAsia="Arial" w:hAnsi="Arial" w:cs="Arial"/>
                <w:sz w:val="20"/>
                <w:szCs w:val="20"/>
              </w:rPr>
            </w:pPr>
          </w:p>
        </w:tc>
      </w:tr>
      <w:tr w:rsidR="004B16E6">
        <w:trPr>
          <w:trHeight w:val="343"/>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numPr>
                <w:ilvl w:val="0"/>
                <w:numId w:val="7"/>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Export turnover</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Million USD</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0.14</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8.13</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1.74</w:t>
            </w:r>
          </w:p>
        </w:tc>
      </w:tr>
      <w:tr w:rsidR="004B16E6">
        <w:trPr>
          <w:trHeight w:val="343"/>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Export output</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Tons</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216</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19,250</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1.12</w:t>
            </w:r>
          </w:p>
        </w:tc>
      </w:tr>
      <w:tr w:rsidR="004B16E6">
        <w:trPr>
          <w:trHeight w:val="315"/>
        </w:trPr>
        <w:tc>
          <w:tcPr>
            <w:tcW w:w="3728" w:type="dxa"/>
            <w:tcBorders>
              <w:top w:val="single" w:sz="4" w:space="0" w:color="000000"/>
              <w:left w:val="single" w:sz="4" w:space="0" w:color="000000"/>
            </w:tcBorders>
            <w:shd w:val="clear" w:color="auto" w:fill="FFFFFF"/>
            <w:tcMar>
              <w:top w:w="0" w:type="dxa"/>
              <w:bottom w:w="0" w:type="dxa"/>
            </w:tcMar>
            <w:vAlign w:val="bottom"/>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Import food ingredients</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4B16E6" w:rsidP="00945EE3">
            <w:pPr>
              <w:tabs>
                <w:tab w:val="left" w:pos="284"/>
              </w:tabs>
              <w:spacing w:after="120" w:line="360" w:lineRule="auto"/>
              <w:jc w:val="both"/>
              <w:rPr>
                <w:rFonts w:ascii="Arial" w:eastAsia="Arial" w:hAnsi="Arial" w:cs="Arial"/>
                <w:sz w:val="20"/>
                <w:szCs w:val="20"/>
              </w:rPr>
            </w:pP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4B16E6" w:rsidP="00945EE3">
            <w:pPr>
              <w:tabs>
                <w:tab w:val="left" w:pos="284"/>
              </w:tabs>
              <w:spacing w:after="120" w:line="360" w:lineRule="auto"/>
              <w:jc w:val="both"/>
              <w:rPr>
                <w:rFonts w:ascii="Arial" w:eastAsia="Arial" w:hAnsi="Arial" w:cs="Arial"/>
                <w:sz w:val="20"/>
                <w:szCs w:val="20"/>
              </w:rPr>
            </w:pP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4B16E6" w:rsidP="00945EE3">
            <w:pPr>
              <w:tabs>
                <w:tab w:val="left" w:pos="284"/>
              </w:tabs>
              <w:spacing w:after="120" w:line="360" w:lineRule="auto"/>
              <w:jc w:val="both"/>
              <w:rPr>
                <w:rFonts w:ascii="Arial" w:eastAsia="Arial" w:hAnsi="Arial" w:cs="Arial"/>
                <w:sz w:val="20"/>
                <w:szCs w:val="20"/>
              </w:rPr>
            </w:pP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4B16E6" w:rsidP="00945EE3">
            <w:pPr>
              <w:tabs>
                <w:tab w:val="left" w:pos="284"/>
              </w:tabs>
              <w:spacing w:after="120" w:line="360" w:lineRule="auto"/>
              <w:jc w:val="both"/>
              <w:rPr>
                <w:rFonts w:ascii="Arial" w:eastAsia="Arial" w:hAnsi="Arial" w:cs="Arial"/>
                <w:sz w:val="20"/>
                <w:szCs w:val="20"/>
              </w:rPr>
            </w:pPr>
          </w:p>
        </w:tc>
      </w:tr>
      <w:tr w:rsidR="004B16E6">
        <w:trPr>
          <w:trHeight w:val="343"/>
        </w:trPr>
        <w:tc>
          <w:tcPr>
            <w:tcW w:w="3728" w:type="dxa"/>
            <w:tcBorders>
              <w:top w:val="single" w:sz="4" w:space="0" w:color="000000"/>
              <w:left w:val="single" w:sz="4" w:space="0" w:color="000000"/>
            </w:tcBorders>
            <w:shd w:val="clear" w:color="auto" w:fill="FFFFFF"/>
            <w:tcMar>
              <w:top w:w="0" w:type="dxa"/>
              <w:bottom w:w="0" w:type="dxa"/>
            </w:tcMar>
            <w:vAlign w:val="bottom"/>
          </w:tcPr>
          <w:p w:rsidR="004B16E6" w:rsidRDefault="00945EE3" w:rsidP="00945EE3">
            <w:pPr>
              <w:numPr>
                <w:ilvl w:val="0"/>
                <w:numId w:val="9"/>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Import turnover</w:t>
            </w:r>
          </w:p>
        </w:tc>
        <w:tc>
          <w:tcPr>
            <w:tcW w:w="1109" w:type="dxa"/>
            <w:tcBorders>
              <w:top w:val="single" w:sz="4" w:space="0" w:color="000000"/>
              <w:left w:val="single" w:sz="4" w:space="0" w:color="000000"/>
            </w:tcBorders>
            <w:shd w:val="clear" w:color="auto" w:fill="FFFFFF"/>
            <w:tcMar>
              <w:top w:w="0" w:type="dxa"/>
              <w:bottom w:w="0" w:type="dxa"/>
            </w:tcMar>
            <w:vAlign w:val="bottom"/>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Million  USD</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0.11</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2.02</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5.27</w:t>
            </w:r>
          </w:p>
        </w:tc>
      </w:tr>
      <w:tr w:rsidR="004B16E6">
        <w:trPr>
          <w:trHeight w:val="343"/>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numPr>
                <w:ilvl w:val="0"/>
                <w:numId w:val="5"/>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Import volume</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Tons</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56</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3,897</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1.42</w:t>
            </w:r>
          </w:p>
        </w:tc>
      </w:tr>
      <w:tr w:rsidR="004B16E6">
        <w:trPr>
          <w:trHeight w:val="336"/>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Consumption volume of aquatic animal feed</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Tons</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34,965</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55,480</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63.02</w:t>
            </w:r>
          </w:p>
        </w:tc>
      </w:tr>
      <w:tr w:rsidR="004B16E6">
        <w:trPr>
          <w:trHeight w:val="343"/>
        </w:trPr>
        <w:tc>
          <w:tcPr>
            <w:tcW w:w="3728" w:type="dxa"/>
            <w:tcBorders>
              <w:top w:val="single" w:sz="4" w:space="0" w:color="000000"/>
              <w:left w:val="single" w:sz="4" w:space="0" w:color="000000"/>
            </w:tcBorders>
            <w:shd w:val="clear" w:color="auto" w:fill="FFFFFF"/>
            <w:tcMar>
              <w:top w:w="0" w:type="dxa"/>
              <w:bottom w:w="0" w:type="dxa"/>
            </w:tcMar>
          </w:tcPr>
          <w:p w:rsidR="004B16E6" w:rsidRDefault="00945EE3" w:rsidP="00945EE3">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Other food sold</w:t>
            </w:r>
          </w:p>
        </w:tc>
        <w:tc>
          <w:tcPr>
            <w:tcW w:w="1109"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Tons</w:t>
            </w:r>
          </w:p>
        </w:tc>
        <w:tc>
          <w:tcPr>
            <w:tcW w:w="1382"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27,180</w:t>
            </w:r>
          </w:p>
        </w:tc>
        <w:tc>
          <w:tcPr>
            <w:tcW w:w="1389" w:type="dxa"/>
            <w:tcBorders>
              <w:top w:val="single" w:sz="4" w:space="0" w:color="000000"/>
              <w:lef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49,230</w:t>
            </w:r>
          </w:p>
        </w:tc>
        <w:tc>
          <w:tcPr>
            <w:tcW w:w="1411"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55.21</w:t>
            </w:r>
          </w:p>
        </w:tc>
      </w:tr>
      <w:tr w:rsidR="004B16E6">
        <w:trPr>
          <w:trHeight w:val="329"/>
        </w:trPr>
        <w:tc>
          <w:tcPr>
            <w:tcW w:w="3728" w:type="dxa"/>
            <w:tcBorders>
              <w:top w:val="single" w:sz="4" w:space="0" w:color="000000"/>
              <w:left w:val="single" w:sz="4" w:space="0" w:color="000000"/>
              <w:bottom w:val="single" w:sz="4" w:space="0" w:color="000000"/>
            </w:tcBorders>
            <w:shd w:val="clear" w:color="auto" w:fill="FFFFFF"/>
            <w:tcMar>
              <w:top w:w="0" w:type="dxa"/>
              <w:bottom w:w="0" w:type="dxa"/>
            </w:tcMar>
          </w:tcPr>
          <w:p w:rsidR="004B16E6" w:rsidRDefault="00945EE3" w:rsidP="00945EE3">
            <w:pPr>
              <w:numPr>
                <w:ilvl w:val="0"/>
                <w:numId w:val="6"/>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Internal consumption</w:t>
            </w:r>
          </w:p>
        </w:tc>
        <w:tc>
          <w:tcPr>
            <w:tcW w:w="1109" w:type="dxa"/>
            <w:tcBorders>
              <w:top w:val="single" w:sz="4" w:space="0" w:color="000000"/>
              <w:left w:val="single" w:sz="4" w:space="0" w:color="000000"/>
              <w:bottom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Tons</w:t>
            </w:r>
          </w:p>
        </w:tc>
        <w:tc>
          <w:tcPr>
            <w:tcW w:w="1382"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7,785</w:t>
            </w:r>
          </w:p>
        </w:tc>
        <w:tc>
          <w:tcPr>
            <w:tcW w:w="1389"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6,250</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124.56</w:t>
            </w:r>
          </w:p>
        </w:tc>
      </w:tr>
    </w:tbl>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3. </w:t>
      </w:r>
      <w:r>
        <w:rPr>
          <w:rFonts w:ascii="Arial" w:hAnsi="Arial"/>
          <w:sz w:val="20"/>
        </w:rPr>
        <w:t xml:space="preserve">Approve the Company's production and business plan for </w:t>
      </w:r>
      <w:r>
        <w:rPr>
          <w:rFonts w:ascii="Arial" w:hAnsi="Arial"/>
          <w:sz w:val="20"/>
        </w:rPr>
        <w:t>2024 with the following basic targets:</w:t>
      </w:r>
    </w:p>
    <w:p w:rsidR="004B16E6" w:rsidRDefault="00945EE3" w:rsidP="00945EE3">
      <w:pPr>
        <w:numPr>
          <w:ilvl w:val="0"/>
          <w:numId w:val="8"/>
        </w:numPr>
        <w:pBdr>
          <w:top w:val="nil"/>
          <w:left w:val="nil"/>
          <w:bottom w:val="nil"/>
          <w:right w:val="nil"/>
          <w:between w:val="nil"/>
        </w:pBdr>
        <w:tabs>
          <w:tab w:val="left" w:pos="284"/>
          <w:tab w:val="left" w:pos="1093"/>
          <w:tab w:val="left" w:pos="3246"/>
        </w:tabs>
        <w:spacing w:after="120" w:line="360" w:lineRule="auto"/>
        <w:jc w:val="both"/>
        <w:rPr>
          <w:rFonts w:ascii="Arial" w:eastAsia="Arial" w:hAnsi="Arial" w:cs="Arial"/>
          <w:sz w:val="20"/>
          <w:szCs w:val="20"/>
        </w:rPr>
      </w:pPr>
      <w:r>
        <w:rPr>
          <w:rFonts w:ascii="Arial" w:hAnsi="Arial"/>
          <w:sz w:val="20"/>
        </w:rPr>
        <w:t>Revenue:</w:t>
      </w:r>
      <w:r>
        <w:rPr>
          <w:rFonts w:ascii="Arial" w:hAnsi="Arial"/>
          <w:sz w:val="20"/>
        </w:rPr>
        <w:tab/>
        <w:t>VND 2,596,800 million.</w:t>
      </w:r>
    </w:p>
    <w:p w:rsidR="004B16E6" w:rsidRDefault="00945EE3" w:rsidP="00945EE3">
      <w:pPr>
        <w:numPr>
          <w:ilvl w:val="0"/>
          <w:numId w:val="8"/>
        </w:numPr>
        <w:pBdr>
          <w:top w:val="nil"/>
          <w:left w:val="nil"/>
          <w:bottom w:val="nil"/>
          <w:right w:val="nil"/>
          <w:between w:val="nil"/>
        </w:pBdr>
        <w:tabs>
          <w:tab w:val="left" w:pos="284"/>
          <w:tab w:val="left" w:pos="1093"/>
          <w:tab w:val="left" w:pos="3606"/>
        </w:tabs>
        <w:spacing w:after="120" w:line="360" w:lineRule="auto"/>
        <w:jc w:val="both"/>
        <w:rPr>
          <w:rFonts w:ascii="Arial" w:eastAsia="Arial" w:hAnsi="Arial" w:cs="Arial"/>
          <w:sz w:val="20"/>
          <w:szCs w:val="20"/>
        </w:rPr>
      </w:pPr>
      <w:r>
        <w:rPr>
          <w:rFonts w:ascii="Arial" w:hAnsi="Arial"/>
          <w:sz w:val="20"/>
        </w:rPr>
        <w:t>Profit before tax:</w:t>
      </w:r>
      <w:r>
        <w:rPr>
          <w:rFonts w:ascii="Arial" w:hAnsi="Arial"/>
          <w:sz w:val="20"/>
        </w:rPr>
        <w:tab/>
      </w:r>
      <w:r>
        <w:rPr>
          <w:rFonts w:ascii="Arial" w:hAnsi="Arial"/>
          <w:sz w:val="20"/>
        </w:rPr>
        <w:t>VND 37,314 million.</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4. </w:t>
      </w:r>
      <w:r>
        <w:rPr>
          <w:rFonts w:ascii="Arial" w:hAnsi="Arial"/>
          <w:sz w:val="20"/>
        </w:rPr>
        <w:t>Approve the Company's Audited Financial Statements 2023.</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5. Approve the Proposal on Profit After Tax Distribution 2023.</w:t>
      </w: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6156"/>
        <w:gridCol w:w="2244"/>
      </w:tblGrid>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No.</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Target</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Value</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lastRenderedPageBreak/>
              <w:t>1</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Charter capital</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350,000,000,000</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2</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Total revenue</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2,160,259,563,081</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3</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Profit before tax</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32,783,777,984</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4</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Corporate income tax</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6,267,945,771</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5</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Profit after tax</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26,515,832,213</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a</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Distributed profit</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26,515,832,213</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b</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Undistributed profit</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6</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Accumulated undistributed profits up to the end of the previous year</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61,543,657,065</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7</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Distributed profits [(5)+(6)]</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88,059,489,278</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8</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Profit distribution</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3,155,583,222</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a</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Appropriation for funds</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2,651,583,222</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4B16E6" w:rsidP="00945EE3">
            <w:pPr>
              <w:spacing w:after="120" w:line="360" w:lineRule="auto"/>
              <w:jc w:val="both"/>
              <w:rPr>
                <w:rFonts w:ascii="Arial" w:eastAsia="Arial" w:hAnsi="Arial" w:cs="Arial"/>
                <w:color w:val="010000"/>
                <w:sz w:val="20"/>
                <w:szCs w:val="20"/>
              </w:rPr>
            </w:pP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Pr>
                <w:rFonts w:ascii="Arial" w:hAnsi="Arial"/>
                <w:color w:val="010000"/>
                <w:sz w:val="20"/>
              </w:rPr>
              <w:t>Appropriation for Bonus and Welfare Fund [5% X (5)]</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1,325,791,611</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4B16E6" w:rsidP="00945EE3">
            <w:pPr>
              <w:spacing w:after="120" w:line="360" w:lineRule="auto"/>
              <w:jc w:val="both"/>
              <w:rPr>
                <w:rFonts w:ascii="Arial" w:eastAsia="Arial" w:hAnsi="Arial" w:cs="Arial"/>
                <w:color w:val="010000"/>
                <w:sz w:val="20"/>
                <w:szCs w:val="20"/>
              </w:rPr>
            </w:pP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numPr>
                <w:ilvl w:val="0"/>
                <w:numId w:val="3"/>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Pr>
                <w:rFonts w:ascii="Arial" w:hAnsi="Arial"/>
                <w:color w:val="010000"/>
                <w:sz w:val="20"/>
              </w:rPr>
              <w:t>Appropriation for Development Investment Fund [5% X (5)]</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1,325,791,611</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b</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Appropriation for paying remuneration to the Board of Directors and the Supervisory Board in 2023</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504 000,000</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C</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Dividend payment (not paid)</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w:t>
            </w:r>
          </w:p>
        </w:tc>
      </w:tr>
      <w:tr w:rsidR="004B16E6">
        <w:tc>
          <w:tcPr>
            <w:tcW w:w="619"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9</w:t>
            </w:r>
          </w:p>
        </w:tc>
        <w:tc>
          <w:tcPr>
            <w:tcW w:w="6156"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Accumulated undistributed profit until the end of 2023 [(7)-(8)]</w:t>
            </w:r>
          </w:p>
        </w:tc>
        <w:tc>
          <w:tcPr>
            <w:tcW w:w="2244" w:type="dxa"/>
            <w:tcBorders>
              <w:top w:val="single" w:sz="4" w:space="0" w:color="000000"/>
              <w:left w:val="single" w:sz="4" w:space="0" w:color="000000"/>
              <w:bottom w:val="single" w:sz="4" w:space="0" w:color="000000"/>
              <w:right w:val="single" w:sz="4" w:space="0" w:color="000000"/>
            </w:tcBorders>
            <w:vAlign w:val="center"/>
          </w:tcPr>
          <w:p w:rsidR="004B16E6" w:rsidRDefault="00945EE3" w:rsidP="00945EE3">
            <w:pPr>
              <w:pBdr>
                <w:top w:val="nil"/>
                <w:left w:val="nil"/>
                <w:bottom w:val="nil"/>
                <w:right w:val="nil"/>
                <w:between w:val="nil"/>
              </w:pBdr>
              <w:spacing w:after="120" w:line="360" w:lineRule="auto"/>
              <w:ind w:firstLine="20"/>
              <w:jc w:val="both"/>
              <w:rPr>
                <w:rFonts w:ascii="Arial" w:eastAsia="Arial" w:hAnsi="Arial" w:cs="Arial"/>
                <w:color w:val="010000"/>
                <w:sz w:val="20"/>
                <w:szCs w:val="20"/>
              </w:rPr>
            </w:pPr>
            <w:r>
              <w:rPr>
                <w:rFonts w:ascii="Arial" w:hAnsi="Arial"/>
                <w:color w:val="010000"/>
                <w:sz w:val="20"/>
              </w:rPr>
              <w:t>84,903,906,056</w:t>
            </w:r>
          </w:p>
        </w:tc>
      </w:tr>
    </w:tbl>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6. </w:t>
      </w:r>
      <w:r>
        <w:rPr>
          <w:rFonts w:ascii="Arial" w:hAnsi="Arial"/>
          <w:sz w:val="20"/>
        </w:rPr>
        <w:t>Approve the Activity Report 2023 of the Supervisory Board.</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7. </w:t>
      </w:r>
      <w:r>
        <w:rPr>
          <w:rFonts w:ascii="Arial" w:hAnsi="Arial"/>
          <w:sz w:val="20"/>
        </w:rPr>
        <w:t>Approve the Proposal on Remuneration of the Board of Directors and the Supervisory Board in 2023 and the remuneration of the Board of Directors and the Supervisory Board in 2024, specifically:</w:t>
      </w:r>
    </w:p>
    <w:p w:rsidR="004B16E6" w:rsidRDefault="00945EE3" w:rsidP="00945EE3">
      <w:pPr>
        <w:numPr>
          <w:ilvl w:val="0"/>
          <w:numId w:val="10"/>
        </w:numPr>
        <w:pBdr>
          <w:top w:val="nil"/>
          <w:left w:val="nil"/>
          <w:bottom w:val="nil"/>
          <w:right w:val="nil"/>
          <w:between w:val="nil"/>
        </w:pBdr>
        <w:tabs>
          <w:tab w:val="left" w:pos="284"/>
          <w:tab w:val="left" w:pos="639"/>
        </w:tabs>
        <w:spacing w:after="120" w:line="360" w:lineRule="auto"/>
        <w:jc w:val="both"/>
        <w:rPr>
          <w:rFonts w:ascii="Arial" w:eastAsia="Arial" w:hAnsi="Arial" w:cs="Arial"/>
          <w:sz w:val="20"/>
          <w:szCs w:val="20"/>
        </w:rPr>
      </w:pPr>
      <w:r>
        <w:rPr>
          <w:rFonts w:ascii="Arial" w:hAnsi="Arial"/>
          <w:sz w:val="20"/>
        </w:rPr>
        <w:t>Payment of remuneration to the Board of Directors,</w:t>
      </w:r>
      <w:r>
        <w:rPr>
          <w:rFonts w:ascii="Arial" w:hAnsi="Arial"/>
          <w:sz w:val="20"/>
        </w:rPr>
        <w:t xml:space="preserve"> and </w:t>
      </w:r>
      <w:r>
        <w:rPr>
          <w:rFonts w:ascii="Arial" w:hAnsi="Arial"/>
          <w:sz w:val="20"/>
        </w:rPr>
        <w:t>the Supervis</w:t>
      </w:r>
      <w:r>
        <w:rPr>
          <w:rFonts w:ascii="Arial" w:hAnsi="Arial"/>
          <w:sz w:val="20"/>
        </w:rPr>
        <w:t>ory Board in 2023: VND 504,000,000.</w:t>
      </w:r>
    </w:p>
    <w:p w:rsidR="004B16E6" w:rsidRDefault="00945EE3" w:rsidP="00945EE3">
      <w:pPr>
        <w:numPr>
          <w:ilvl w:val="0"/>
          <w:numId w:val="10"/>
        </w:numPr>
        <w:pBdr>
          <w:top w:val="nil"/>
          <w:left w:val="nil"/>
          <w:bottom w:val="nil"/>
          <w:right w:val="nil"/>
          <w:between w:val="nil"/>
        </w:pBdr>
        <w:tabs>
          <w:tab w:val="left" w:pos="284"/>
          <w:tab w:val="left" w:pos="658"/>
        </w:tabs>
        <w:spacing w:after="120" w:line="360" w:lineRule="auto"/>
        <w:jc w:val="both"/>
        <w:rPr>
          <w:rFonts w:ascii="Arial" w:eastAsia="Arial" w:hAnsi="Arial" w:cs="Arial"/>
          <w:sz w:val="20"/>
          <w:szCs w:val="20"/>
        </w:rPr>
      </w:pPr>
      <w:r>
        <w:rPr>
          <w:rFonts w:ascii="Arial" w:hAnsi="Arial"/>
          <w:sz w:val="20"/>
        </w:rPr>
        <w:t xml:space="preserve">Remuneration payment plan, and </w:t>
      </w:r>
      <w:r>
        <w:rPr>
          <w:rFonts w:ascii="Arial" w:hAnsi="Arial"/>
          <w:sz w:val="20"/>
        </w:rPr>
        <w:t>bonus for members of the Board of Directors and the Supervisory Board in 2024:</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The remuneration plan for the Board of Directors and the Supervisory Board in 2024 is temporarily suspended. </w:t>
      </w:r>
      <w:r>
        <w:rPr>
          <w:rFonts w:ascii="Arial" w:hAnsi="Arial"/>
          <w:sz w:val="20"/>
        </w:rPr>
        <w:t xml:space="preserve">After the </w:t>
      </w:r>
      <w:r>
        <w:rPr>
          <w:rFonts w:ascii="Arial" w:hAnsi="Arial"/>
          <w:sz w:val="20"/>
        </w:rPr>
        <w:t>business results in 2024 are</w:t>
      </w:r>
      <w:r>
        <w:rPr>
          <w:rFonts w:ascii="Arial" w:hAnsi="Arial"/>
          <w:sz w:val="20"/>
        </w:rPr>
        <w:t xml:space="preserve"> effective, the Board of Directors will submit to the Annual General Meeting of Shareholders 2025 for approval of the remuneration 2024 to be paid to the Board of Directors and the Supervisory Board.</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8. </w:t>
      </w:r>
      <w:r>
        <w:rPr>
          <w:rFonts w:ascii="Arial" w:hAnsi="Arial"/>
          <w:sz w:val="20"/>
        </w:rPr>
        <w:t xml:space="preserve">Approve the </w:t>
      </w:r>
      <w:r>
        <w:rPr>
          <w:rFonts w:ascii="Arial" w:hAnsi="Arial"/>
          <w:sz w:val="20"/>
        </w:rPr>
        <w:t>Proposal of the Supervisory Board on the Company's General Meeting of Shareholders authorizing the Board of Directors to select an audit company for the Company's Financial Statements 2024.</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9. Approve the Proposal on dismissal and election of addit</w:t>
      </w:r>
      <w:r>
        <w:rPr>
          <w:rFonts w:ascii="Arial" w:hAnsi="Arial"/>
          <w:sz w:val="20"/>
        </w:rPr>
        <w:t xml:space="preserve">ional members of the Supervisory </w:t>
      </w:r>
      <w:r>
        <w:rPr>
          <w:rFonts w:ascii="Arial" w:hAnsi="Arial"/>
          <w:sz w:val="20"/>
        </w:rPr>
        <w:lastRenderedPageBreak/>
        <w:t>Board for the 2021-2025 term.</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10. Approve the results of electing members of the Supervisory Board of An Giang Agriculture and Food Import - Export Joint Stock Company for the 2021-2025 term as follows:</w:t>
      </w:r>
    </w:p>
    <w:tbl>
      <w:tblPr>
        <w:tblStyle w:val="a1"/>
        <w:tblW w:w="8789" w:type="dxa"/>
        <w:tblLayout w:type="fixed"/>
        <w:tblLook w:val="0000" w:firstRow="0" w:lastRow="0" w:firstColumn="0" w:lastColumn="0" w:noHBand="0" w:noVBand="0"/>
      </w:tblPr>
      <w:tblGrid>
        <w:gridCol w:w="643"/>
        <w:gridCol w:w="2142"/>
        <w:gridCol w:w="1612"/>
        <w:gridCol w:w="2381"/>
        <w:gridCol w:w="2011"/>
      </w:tblGrid>
      <w:tr w:rsidR="004B16E6" w:rsidTr="00945EE3">
        <w:trPr>
          <w:trHeight w:val="547"/>
        </w:trPr>
        <w:tc>
          <w:tcPr>
            <w:tcW w:w="643" w:type="dxa"/>
            <w:tcBorders>
              <w:top w:val="single" w:sz="4" w:space="0" w:color="000000"/>
              <w:left w:val="single" w:sz="4" w:space="0" w:color="000000"/>
            </w:tcBorders>
            <w:shd w:val="clear" w:color="auto" w:fill="FFFFFF"/>
            <w:tcMar>
              <w:top w:w="0" w:type="dxa"/>
              <w:bottom w:w="0" w:type="dxa"/>
            </w:tcMar>
            <w:vAlign w:val="bottom"/>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No.</w:t>
            </w:r>
          </w:p>
        </w:tc>
        <w:tc>
          <w:tcPr>
            <w:tcW w:w="2142" w:type="dxa"/>
            <w:tcBorders>
              <w:top w:val="single" w:sz="4" w:space="0" w:color="000000"/>
              <w:left w:val="single" w:sz="4" w:space="0" w:color="000000"/>
            </w:tcBorders>
            <w:shd w:val="clear" w:color="auto" w:fill="FFFFFF"/>
            <w:tcMar>
              <w:top w:w="0" w:type="dxa"/>
              <w:bottom w:w="0" w:type="dxa"/>
            </w:tcMar>
            <w:vAlign w:val="bottom"/>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Full nam</w:t>
            </w:r>
            <w:r>
              <w:rPr>
                <w:rFonts w:ascii="Arial" w:hAnsi="Arial"/>
                <w:sz w:val="20"/>
              </w:rPr>
              <w:t>e</w:t>
            </w:r>
          </w:p>
        </w:tc>
        <w:tc>
          <w:tcPr>
            <w:tcW w:w="1612" w:type="dxa"/>
            <w:tcBorders>
              <w:top w:val="single" w:sz="4" w:space="0" w:color="000000"/>
              <w:left w:val="single" w:sz="4" w:space="0" w:color="000000"/>
            </w:tcBorders>
            <w:shd w:val="clear" w:color="auto" w:fill="FFFFFF"/>
            <w:tcMar>
              <w:top w:w="0" w:type="dxa"/>
              <w:bottom w:w="0" w:type="dxa"/>
            </w:tcMar>
            <w:vAlign w:val="bottom"/>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Position</w:t>
            </w:r>
          </w:p>
        </w:tc>
        <w:tc>
          <w:tcPr>
            <w:tcW w:w="2381" w:type="dxa"/>
            <w:tcBorders>
              <w:top w:val="single" w:sz="4" w:space="0" w:color="000000"/>
              <w:lef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ID card/passport</w:t>
            </w:r>
          </w:p>
        </w:tc>
        <w:tc>
          <w:tcPr>
            <w:tcW w:w="2011" w:type="dxa"/>
            <w:tcBorders>
              <w:top w:val="single" w:sz="4" w:space="0" w:color="000000"/>
              <w:left w:val="single" w:sz="4" w:space="0" w:color="000000"/>
              <w:right w:val="single" w:sz="4" w:space="0" w:color="000000"/>
            </w:tcBorders>
            <w:shd w:val="clear" w:color="auto" w:fill="FFFFFF"/>
            <w:tcMar>
              <w:top w:w="0" w:type="dxa"/>
              <w:bottom w:w="0" w:type="dxa"/>
            </w:tcMar>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Permanent address</w:t>
            </w:r>
          </w:p>
        </w:tc>
      </w:tr>
      <w:tr w:rsidR="004B16E6" w:rsidTr="00945EE3">
        <w:trPr>
          <w:trHeight w:val="1037"/>
        </w:trPr>
        <w:tc>
          <w:tcPr>
            <w:tcW w:w="643"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1</w:t>
            </w:r>
          </w:p>
        </w:tc>
        <w:tc>
          <w:tcPr>
            <w:tcW w:w="2142"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 xml:space="preserve">Nguyen Thi </w:t>
            </w:r>
            <w:proofErr w:type="spellStart"/>
            <w:r>
              <w:rPr>
                <w:rFonts w:ascii="Arial" w:hAnsi="Arial"/>
                <w:sz w:val="20"/>
              </w:rPr>
              <w:t>Thuy</w:t>
            </w:r>
            <w:proofErr w:type="spellEnd"/>
            <w:r>
              <w:rPr>
                <w:rFonts w:ascii="Arial" w:hAnsi="Arial"/>
                <w:sz w:val="20"/>
              </w:rPr>
              <w:t xml:space="preserve"> Trang</w:t>
            </w:r>
          </w:p>
        </w:tc>
        <w:tc>
          <w:tcPr>
            <w:tcW w:w="1612"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Member of the Supervisory Board</w:t>
            </w:r>
          </w:p>
        </w:tc>
        <w:tc>
          <w:tcPr>
            <w:tcW w:w="2381"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040197017561 issued on May 15, 2022 at Police Dep</w:t>
            </w:r>
            <w:bookmarkStart w:id="0" w:name="_GoBack"/>
            <w:bookmarkEnd w:id="0"/>
            <w:r>
              <w:rPr>
                <w:rFonts w:ascii="Arial" w:hAnsi="Arial"/>
                <w:sz w:val="20"/>
              </w:rPr>
              <w:t>artment for Administrative Management of Social Order</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4B16E6" w:rsidRDefault="00945EE3" w:rsidP="00945EE3">
            <w:pPr>
              <w:pBdr>
                <w:top w:val="nil"/>
                <w:left w:val="nil"/>
                <w:bottom w:val="nil"/>
                <w:right w:val="nil"/>
                <w:between w:val="nil"/>
              </w:pBdr>
              <w:tabs>
                <w:tab w:val="left" w:pos="284"/>
              </w:tabs>
              <w:spacing w:after="120" w:line="360" w:lineRule="auto"/>
              <w:jc w:val="center"/>
              <w:rPr>
                <w:rFonts w:ascii="Arial" w:eastAsia="Arial" w:hAnsi="Arial" w:cs="Arial"/>
                <w:sz w:val="20"/>
                <w:szCs w:val="20"/>
              </w:rPr>
            </w:pPr>
            <w:r>
              <w:rPr>
                <w:rFonts w:ascii="Arial" w:hAnsi="Arial"/>
                <w:sz w:val="20"/>
              </w:rPr>
              <w:t xml:space="preserve">Nam </w:t>
            </w:r>
            <w:proofErr w:type="spellStart"/>
            <w:r>
              <w:rPr>
                <w:rFonts w:ascii="Arial" w:hAnsi="Arial"/>
                <w:sz w:val="20"/>
              </w:rPr>
              <w:t>Xuan</w:t>
            </w:r>
            <w:proofErr w:type="spellEnd"/>
            <w:r>
              <w:rPr>
                <w:rFonts w:ascii="Arial" w:hAnsi="Arial"/>
                <w:sz w:val="20"/>
              </w:rPr>
              <w:t xml:space="preserve"> Hamlet, </w:t>
            </w:r>
            <w:proofErr w:type="spellStart"/>
            <w:r>
              <w:rPr>
                <w:rFonts w:ascii="Arial" w:hAnsi="Arial"/>
                <w:sz w:val="20"/>
              </w:rPr>
              <w:t>Dien</w:t>
            </w:r>
            <w:proofErr w:type="spellEnd"/>
            <w:r>
              <w:rPr>
                <w:rFonts w:ascii="Arial" w:hAnsi="Arial"/>
                <w:sz w:val="20"/>
              </w:rPr>
              <w:t xml:space="preserve"> </w:t>
            </w:r>
            <w:proofErr w:type="spellStart"/>
            <w:r>
              <w:rPr>
                <w:rFonts w:ascii="Arial" w:hAnsi="Arial"/>
                <w:sz w:val="20"/>
              </w:rPr>
              <w:t>Xuan</w:t>
            </w:r>
            <w:proofErr w:type="spellEnd"/>
            <w:r>
              <w:rPr>
                <w:rFonts w:ascii="Arial" w:hAnsi="Arial"/>
                <w:sz w:val="20"/>
              </w:rPr>
              <w:t xml:space="preserve">, </w:t>
            </w:r>
            <w:proofErr w:type="spellStart"/>
            <w:r>
              <w:rPr>
                <w:rFonts w:ascii="Arial" w:hAnsi="Arial"/>
                <w:sz w:val="20"/>
              </w:rPr>
              <w:t>Dien</w:t>
            </w:r>
            <w:proofErr w:type="spellEnd"/>
            <w:r>
              <w:rPr>
                <w:rFonts w:ascii="Arial" w:hAnsi="Arial"/>
                <w:sz w:val="20"/>
              </w:rPr>
              <w:t xml:space="preserve"> </w:t>
            </w:r>
            <w:proofErr w:type="spellStart"/>
            <w:r>
              <w:rPr>
                <w:rFonts w:ascii="Arial" w:hAnsi="Arial"/>
                <w:sz w:val="20"/>
              </w:rPr>
              <w:t>Chau</w:t>
            </w:r>
            <w:proofErr w:type="spellEnd"/>
            <w:r>
              <w:rPr>
                <w:rFonts w:ascii="Arial" w:hAnsi="Arial"/>
                <w:sz w:val="20"/>
              </w:rPr>
              <w:t xml:space="preserve">, </w:t>
            </w:r>
            <w:proofErr w:type="spellStart"/>
            <w:r>
              <w:rPr>
                <w:rFonts w:ascii="Arial" w:hAnsi="Arial"/>
                <w:sz w:val="20"/>
              </w:rPr>
              <w:t>Nghe</w:t>
            </w:r>
            <w:proofErr w:type="spellEnd"/>
            <w:r>
              <w:rPr>
                <w:rFonts w:ascii="Arial" w:hAnsi="Arial"/>
                <w:sz w:val="20"/>
              </w:rPr>
              <w:t xml:space="preserve"> An</w:t>
            </w:r>
          </w:p>
        </w:tc>
      </w:tr>
    </w:tbl>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11. </w:t>
      </w:r>
      <w:r>
        <w:rPr>
          <w:rFonts w:ascii="Arial" w:hAnsi="Arial"/>
          <w:sz w:val="20"/>
        </w:rPr>
        <w:t>This General Mandate has been approved by the Annual General Meeting of Shareholders 2024 and takes effect from April 27, 2024.</w:t>
      </w:r>
    </w:p>
    <w:p w:rsidR="004B16E6" w:rsidRDefault="00945EE3"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sectPr w:rsidR="004B16E6">
          <w:pgSz w:w="11909" w:h="16840"/>
          <w:pgMar w:top="1440" w:right="1440" w:bottom="1440" w:left="1440" w:header="0" w:footer="3" w:gutter="0"/>
          <w:pgNumType w:start="1"/>
          <w:cols w:space="720"/>
        </w:sectPr>
      </w:pPr>
      <w:r>
        <w:rPr>
          <w:rFonts w:ascii="Arial" w:hAnsi="Arial"/>
          <w:sz w:val="20"/>
        </w:rPr>
        <w:t xml:space="preserve">The Board of Directors is responsible for directing and supervising the Executive Board to organize </w:t>
      </w:r>
      <w:r>
        <w:rPr>
          <w:rFonts w:ascii="Arial" w:hAnsi="Arial"/>
          <w:sz w:val="20"/>
        </w:rPr>
        <w:t>and implement the contents of the General Mandate in accordance with the provisions of the Charter of organization and operation of An Giang Agriculture and Food Import - Export Joint Stock Company and current law.</w:t>
      </w:r>
    </w:p>
    <w:p w:rsidR="004B16E6" w:rsidRDefault="004B16E6" w:rsidP="00945EE3">
      <w:pPr>
        <w:pBdr>
          <w:top w:val="nil"/>
          <w:left w:val="nil"/>
          <w:bottom w:val="nil"/>
          <w:right w:val="nil"/>
          <w:between w:val="nil"/>
        </w:pBdr>
        <w:tabs>
          <w:tab w:val="left" w:pos="284"/>
        </w:tabs>
        <w:spacing w:after="120" w:line="360" w:lineRule="auto"/>
        <w:jc w:val="both"/>
        <w:rPr>
          <w:rFonts w:ascii="Arial" w:eastAsia="Arial" w:hAnsi="Arial" w:cs="Arial"/>
          <w:sz w:val="20"/>
          <w:szCs w:val="20"/>
        </w:rPr>
      </w:pPr>
    </w:p>
    <w:sectPr w:rsidR="004B16E6">
      <w:type w:val="continuous"/>
      <w:pgSz w:w="11909" w:h="16840"/>
      <w:pgMar w:top="1440" w:right="1440" w:bottom="1440" w:left="1440"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B7476"/>
    <w:multiLevelType w:val="multilevel"/>
    <w:tmpl w:val="60200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AE4B4B"/>
    <w:multiLevelType w:val="multilevel"/>
    <w:tmpl w:val="8728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2ED70FE"/>
    <w:multiLevelType w:val="multilevel"/>
    <w:tmpl w:val="39DC3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6B40CB8"/>
    <w:multiLevelType w:val="multilevel"/>
    <w:tmpl w:val="29D67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E6A5755"/>
    <w:multiLevelType w:val="multilevel"/>
    <w:tmpl w:val="54F6E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CB3DAB"/>
    <w:multiLevelType w:val="multilevel"/>
    <w:tmpl w:val="1242E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25D46FB"/>
    <w:multiLevelType w:val="multilevel"/>
    <w:tmpl w:val="9BA48E2E"/>
    <w:lvl w:ilvl="0">
      <w:start w:val="1"/>
      <w:numFmt w:val="decimal"/>
      <w:lvlText w:val="%1."/>
      <w:lvlJc w:val="left"/>
      <w:pPr>
        <w:ind w:left="0" w:firstLine="0"/>
      </w:pPr>
      <w:rPr>
        <w:rFonts w:ascii="Arial" w:eastAsia="Arial" w:hAnsi="Arial" w:cs="Arial"/>
        <w:b w:val="0"/>
        <w:i w:val="0"/>
        <w:smallCaps w:val="0"/>
        <w:strike w:val="0"/>
        <w:color w:val="5A5B5C"/>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3ED470D"/>
    <w:multiLevelType w:val="multilevel"/>
    <w:tmpl w:val="E11A2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0071DDD"/>
    <w:multiLevelType w:val="multilevel"/>
    <w:tmpl w:val="CDC23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1FC1AB1"/>
    <w:multiLevelType w:val="multilevel"/>
    <w:tmpl w:val="6ADA9B56"/>
    <w:lvl w:ilvl="0">
      <w:start w:val="1"/>
      <w:numFmt w:val="bullet"/>
      <w:lvlText w:val="•"/>
      <w:lvlJc w:val="left"/>
      <w:pPr>
        <w:ind w:left="0" w:firstLine="0"/>
      </w:pPr>
      <w:rPr>
        <w:rFonts w:ascii="Arial" w:eastAsia="Arial" w:hAnsi="Arial" w:cs="Arial"/>
        <w:b w:val="0"/>
        <w:i w:val="0"/>
        <w:smallCaps w:val="0"/>
        <w:strike w:val="0"/>
        <w:color w:val="5A5B5C"/>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4"/>
  </w:num>
  <w:num w:numId="5">
    <w:abstractNumId w:val="8"/>
  </w:num>
  <w:num w:numId="6">
    <w:abstractNumId w:val="5"/>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E6"/>
    <w:rsid w:val="004B16E6"/>
    <w:rsid w:val="0094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E7757F-28B0-40F5-BC0D-879035A3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A5B5C"/>
      <w:sz w:val="22"/>
      <w:szCs w:val="2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strike w:val="0"/>
      <w:color w:val="B58595"/>
      <w:sz w:val="18"/>
      <w:szCs w:val="1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5A5B5C"/>
      <w:sz w:val="22"/>
      <w:szCs w:val="22"/>
      <w:u w:val="none"/>
      <w:shd w:val="clear" w:color="auto" w:fill="auto"/>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9"/>
      <w:szCs w:val="9"/>
      <w:u w:val="none"/>
      <w:shd w:val="clear" w:color="auto" w:fill="auto"/>
    </w:rPr>
  </w:style>
  <w:style w:type="paragraph" w:customStyle="1" w:styleId="Bodytext30">
    <w:name w:val="Body text (3)"/>
    <w:basedOn w:val="Normal"/>
    <w:link w:val="Bodytext3"/>
    <w:pPr>
      <w:spacing w:line="276" w:lineRule="auto"/>
      <w:jc w:val="center"/>
    </w:pPr>
    <w:rPr>
      <w:rFonts w:ascii="Times New Roman" w:eastAsia="Times New Roman" w:hAnsi="Times New Roman" w:cs="Times New Roman"/>
      <w:b/>
      <w:bCs/>
      <w:sz w:val="17"/>
      <w:szCs w:val="17"/>
    </w:rPr>
  </w:style>
  <w:style w:type="paragraph" w:styleId="BodyText">
    <w:name w:val="Body Text"/>
    <w:basedOn w:val="Normal"/>
    <w:link w:val="BodyTextChar"/>
    <w:qFormat/>
    <w:pPr>
      <w:spacing w:line="302" w:lineRule="auto"/>
      <w:ind w:firstLine="20"/>
    </w:pPr>
    <w:rPr>
      <w:rFonts w:ascii="Times New Roman" w:eastAsia="Times New Roman" w:hAnsi="Times New Roman" w:cs="Times New Roman"/>
      <w:color w:val="5A5B5C"/>
      <w:sz w:val="22"/>
      <w:szCs w:val="22"/>
    </w:rPr>
  </w:style>
  <w:style w:type="paragraph" w:customStyle="1" w:styleId="Bodytext60">
    <w:name w:val="Body text (6)"/>
    <w:basedOn w:val="Normal"/>
    <w:link w:val="Bodytext6"/>
    <w:pPr>
      <w:spacing w:line="230" w:lineRule="auto"/>
      <w:jc w:val="center"/>
    </w:pPr>
    <w:rPr>
      <w:rFonts w:ascii="Arial" w:eastAsia="Arial" w:hAnsi="Arial" w:cs="Arial"/>
      <w:smallCaps/>
      <w:color w:val="B58595"/>
      <w:sz w:val="18"/>
      <w:szCs w:val="18"/>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Bodytext50">
    <w:name w:val="Body text (5)"/>
    <w:basedOn w:val="Normal"/>
    <w:link w:val="Bodytext5"/>
    <w:pPr>
      <w:jc w:val="center"/>
    </w:pPr>
    <w:rPr>
      <w:rFonts w:ascii="Times New Roman" w:eastAsia="Times New Roman" w:hAnsi="Times New Roman" w:cs="Times New Roman"/>
      <w:b/>
      <w:bCs/>
    </w:rPr>
  </w:style>
  <w:style w:type="paragraph" w:customStyle="1" w:styleId="Tablecaption0">
    <w:name w:val="Table caption"/>
    <w:basedOn w:val="Normal"/>
    <w:link w:val="Tablecaption"/>
    <w:pPr>
      <w:spacing w:line="310" w:lineRule="auto"/>
    </w:pPr>
    <w:rPr>
      <w:rFonts w:ascii="Times New Roman" w:eastAsia="Times New Roman" w:hAnsi="Times New Roman" w:cs="Times New Roman"/>
      <w:sz w:val="22"/>
      <w:szCs w:val="22"/>
    </w:rPr>
  </w:style>
  <w:style w:type="paragraph" w:customStyle="1" w:styleId="Other0">
    <w:name w:val="Other"/>
    <w:basedOn w:val="Normal"/>
    <w:link w:val="Other"/>
    <w:pPr>
      <w:spacing w:line="302" w:lineRule="auto"/>
      <w:ind w:firstLine="20"/>
    </w:pPr>
    <w:rPr>
      <w:rFonts w:ascii="Times New Roman" w:eastAsia="Times New Roman" w:hAnsi="Times New Roman" w:cs="Times New Roman"/>
      <w:color w:val="5A5B5C"/>
      <w:sz w:val="22"/>
      <w:szCs w:val="22"/>
    </w:rPr>
  </w:style>
  <w:style w:type="paragraph" w:customStyle="1" w:styleId="Bodytext40">
    <w:name w:val="Body text (4)"/>
    <w:basedOn w:val="Normal"/>
    <w:link w:val="Bodytext4"/>
    <w:rPr>
      <w:rFonts w:ascii="Calibri" w:eastAsia="Calibri" w:hAnsi="Calibri" w:cs="Calibri"/>
      <w:sz w:val="26"/>
      <w:szCs w:val="26"/>
    </w:rPr>
  </w:style>
  <w:style w:type="paragraph" w:customStyle="1" w:styleId="Bodytext20">
    <w:name w:val="Body text (2)"/>
    <w:basedOn w:val="Normal"/>
    <w:link w:val="Bodytext2"/>
    <w:pPr>
      <w:spacing w:line="310" w:lineRule="auto"/>
    </w:pPr>
    <w:rPr>
      <w:rFonts w:ascii="Arial" w:eastAsia="Arial" w:hAnsi="Arial" w:cs="Arial"/>
      <w:sz w:val="9"/>
      <w:szCs w:val="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XGnwSD6iENTV6y6kOOhxJgHoA==">CgMxLjA4AHIhMURVTXc2QXJxUl9rdl9rS1NNMi0waXBIMGYxenVwX01w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678</Words>
  <Characters>3672</Characters>
  <Application>Microsoft Office Word</Application>
  <DocSecurity>0</DocSecurity>
  <Lines>193</Lines>
  <Paragraphs>167</Paragraphs>
  <ScaleCrop>false</ScaleCrop>
  <Company>HP Inc.</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Quynh Trang</cp:lastModifiedBy>
  <cp:revision>2</cp:revision>
  <dcterms:created xsi:type="dcterms:W3CDTF">2024-05-07T03:30:00Z</dcterms:created>
  <dcterms:modified xsi:type="dcterms:W3CDTF">2024-05-08T07:41:00Z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cf2c0131b3607e59273b4d6a8fbf9c8eea583d8e64b1cea1ce6cc9262a2e2245</vt:lpwstr>
  </property>
</Properties>
</file>