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81E" w:rsidRDefault="00286A0B" w:rsidP="00286A0B">
      <w:pPr>
        <w:keepNext/>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b/>
          <w:color w:val="010000"/>
          <w:sz w:val="20"/>
        </w:rPr>
        <w:t>ALT: Annual General Mandate 2024</w:t>
      </w:r>
    </w:p>
    <w:p w:rsidR="00C9181E" w:rsidRDefault="00286A0B" w:rsidP="00286A0B">
      <w:pPr>
        <w:keepNext/>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On April 26, 2024, ALTA Company announced General Mandate No. 01/NQDHCD/2024 as follows:</w:t>
      </w:r>
    </w:p>
    <w:p w:rsidR="00C9181E" w:rsidRDefault="00286A0B" w:rsidP="00286A0B">
      <w:pPr>
        <w:keepNext/>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Pr>
          <w:rFonts w:ascii="Arial" w:hAnsi="Arial"/>
          <w:color w:val="010000"/>
          <w:sz w:val="20"/>
        </w:rPr>
        <w:t>Approve the Financial Statements in 2023</w:t>
      </w:r>
    </w:p>
    <w:p w:rsidR="00C9181E" w:rsidRDefault="00286A0B" w:rsidP="00286A0B">
      <w:pPr>
        <w:numPr>
          <w:ilvl w:val="0"/>
          <w:numId w:val="2"/>
        </w:num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Pr>
          <w:rFonts w:ascii="Arial" w:hAnsi="Arial"/>
          <w:color w:val="010000"/>
          <w:sz w:val="20"/>
        </w:rPr>
        <w:t>Auditor’s Report 2023</w:t>
      </w:r>
    </w:p>
    <w:p w:rsidR="00C9181E" w:rsidRDefault="00286A0B" w:rsidP="00286A0B">
      <w:pPr>
        <w:numPr>
          <w:ilvl w:val="0"/>
          <w:numId w:val="2"/>
        </w:num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Pr>
          <w:rFonts w:ascii="Arial" w:hAnsi="Arial"/>
          <w:color w:val="010000"/>
          <w:sz w:val="20"/>
        </w:rPr>
        <w:t>Report of the Board of Directors and the Executive Board.</w:t>
      </w:r>
    </w:p>
    <w:p w:rsidR="00C9181E" w:rsidRDefault="00286A0B" w:rsidP="00286A0B">
      <w:pPr>
        <w:numPr>
          <w:ilvl w:val="0"/>
          <w:numId w:val="2"/>
        </w:num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Pr>
          <w:rFonts w:ascii="Arial" w:hAnsi="Arial"/>
          <w:color w:val="010000"/>
          <w:sz w:val="20"/>
        </w:rPr>
        <w:t>Report of the Supervisory Board.</w:t>
      </w:r>
    </w:p>
    <w:p w:rsidR="00C9181E" w:rsidRDefault="00286A0B" w:rsidP="00286A0B">
      <w:pPr>
        <w:numPr>
          <w:ilvl w:val="0"/>
          <w:numId w:val="2"/>
        </w:num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Pr>
          <w:rFonts w:ascii="Arial" w:hAnsi="Arial"/>
          <w:color w:val="010000"/>
          <w:sz w:val="20"/>
        </w:rPr>
        <w:t>Annual report 2023</w:t>
      </w:r>
    </w:p>
    <w:p w:rsidR="00C9181E" w:rsidRDefault="00286A0B">
      <w:pPr>
        <w:numPr>
          <w:ilvl w:val="0"/>
          <w:numId w:val="2"/>
        </w:num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Pr>
          <w:rFonts w:ascii="Arial" w:hAnsi="Arial"/>
          <w:color w:val="010000"/>
          <w:sz w:val="20"/>
        </w:rPr>
        <w:t>Production and business results of 2023.</w:t>
      </w:r>
    </w:p>
    <w:tbl>
      <w:tblPr>
        <w:tblStyle w:val="a"/>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7"/>
        <w:gridCol w:w="4133"/>
        <w:gridCol w:w="1564"/>
        <w:gridCol w:w="1540"/>
        <w:gridCol w:w="1203"/>
      </w:tblGrid>
      <w:tr w:rsidR="00C9181E">
        <w:tc>
          <w:tcPr>
            <w:tcW w:w="577"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No.</w:t>
            </w:r>
          </w:p>
        </w:tc>
        <w:tc>
          <w:tcPr>
            <w:tcW w:w="4133"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Target</w:t>
            </w:r>
          </w:p>
        </w:tc>
        <w:tc>
          <w:tcPr>
            <w:tcW w:w="1564"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 xml:space="preserve">2022 </w:t>
            </w:r>
          </w:p>
        </w:tc>
        <w:tc>
          <w:tcPr>
            <w:tcW w:w="1540"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2023</w:t>
            </w:r>
          </w:p>
        </w:tc>
        <w:tc>
          <w:tcPr>
            <w:tcW w:w="1203"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Results</w:t>
            </w:r>
          </w:p>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2023/2022</w:t>
            </w:r>
          </w:p>
        </w:tc>
      </w:tr>
      <w:tr w:rsidR="00C9181E">
        <w:tc>
          <w:tcPr>
            <w:tcW w:w="577"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w:t>
            </w:r>
          </w:p>
        </w:tc>
        <w:tc>
          <w:tcPr>
            <w:tcW w:w="4133"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Revenue from goods sold and services provided</w:t>
            </w:r>
          </w:p>
        </w:tc>
        <w:tc>
          <w:tcPr>
            <w:tcW w:w="1564"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261,691,896,195</w:t>
            </w:r>
          </w:p>
        </w:tc>
        <w:tc>
          <w:tcPr>
            <w:tcW w:w="1540"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304,082,597,574</w:t>
            </w:r>
          </w:p>
        </w:tc>
        <w:tc>
          <w:tcPr>
            <w:tcW w:w="1203"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116.2%</w:t>
            </w:r>
          </w:p>
        </w:tc>
      </w:tr>
      <w:tr w:rsidR="00C9181E">
        <w:tc>
          <w:tcPr>
            <w:tcW w:w="577"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2</w:t>
            </w:r>
          </w:p>
        </w:tc>
        <w:tc>
          <w:tcPr>
            <w:tcW w:w="4133"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Revenue deductions</w:t>
            </w:r>
          </w:p>
        </w:tc>
        <w:tc>
          <w:tcPr>
            <w:tcW w:w="1564"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175,976,250</w:t>
            </w:r>
          </w:p>
        </w:tc>
        <w:tc>
          <w:tcPr>
            <w:tcW w:w="1540"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352,003,363</w:t>
            </w:r>
          </w:p>
        </w:tc>
        <w:tc>
          <w:tcPr>
            <w:tcW w:w="1203"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200.0%</w:t>
            </w:r>
          </w:p>
        </w:tc>
      </w:tr>
      <w:tr w:rsidR="00C9181E">
        <w:tc>
          <w:tcPr>
            <w:tcW w:w="577"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3</w:t>
            </w:r>
          </w:p>
        </w:tc>
        <w:tc>
          <w:tcPr>
            <w:tcW w:w="4133"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Net revenue from goods sales and service provision</w:t>
            </w:r>
          </w:p>
        </w:tc>
        <w:tc>
          <w:tcPr>
            <w:tcW w:w="1564"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261,515,919,945</w:t>
            </w:r>
          </w:p>
        </w:tc>
        <w:tc>
          <w:tcPr>
            <w:tcW w:w="1540"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303,730,594,211</w:t>
            </w:r>
          </w:p>
        </w:tc>
        <w:tc>
          <w:tcPr>
            <w:tcW w:w="1203"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116.1%</w:t>
            </w:r>
          </w:p>
        </w:tc>
      </w:tr>
      <w:tr w:rsidR="00C9181E">
        <w:tc>
          <w:tcPr>
            <w:tcW w:w="577"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4</w:t>
            </w:r>
          </w:p>
        </w:tc>
        <w:tc>
          <w:tcPr>
            <w:tcW w:w="4133"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Cost of goods sold</w:t>
            </w:r>
          </w:p>
        </w:tc>
        <w:tc>
          <w:tcPr>
            <w:tcW w:w="1564"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218,079,654,906</w:t>
            </w:r>
          </w:p>
        </w:tc>
        <w:tc>
          <w:tcPr>
            <w:tcW w:w="1540"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260,601,563,379</w:t>
            </w:r>
          </w:p>
        </w:tc>
        <w:tc>
          <w:tcPr>
            <w:tcW w:w="1203"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119.5%</w:t>
            </w:r>
          </w:p>
        </w:tc>
      </w:tr>
      <w:tr w:rsidR="00C9181E">
        <w:tc>
          <w:tcPr>
            <w:tcW w:w="577"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5</w:t>
            </w:r>
          </w:p>
        </w:tc>
        <w:tc>
          <w:tcPr>
            <w:tcW w:w="4133"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Gross profit from goods sale and services provision</w:t>
            </w:r>
          </w:p>
        </w:tc>
        <w:tc>
          <w:tcPr>
            <w:tcW w:w="1564"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43,436,265,039</w:t>
            </w:r>
          </w:p>
        </w:tc>
        <w:tc>
          <w:tcPr>
            <w:tcW w:w="1540"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43,129,030,832</w:t>
            </w:r>
          </w:p>
        </w:tc>
        <w:tc>
          <w:tcPr>
            <w:tcW w:w="1203"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99.3%</w:t>
            </w:r>
          </w:p>
        </w:tc>
      </w:tr>
      <w:tr w:rsidR="00C9181E">
        <w:tc>
          <w:tcPr>
            <w:tcW w:w="577"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6</w:t>
            </w:r>
          </w:p>
        </w:tc>
        <w:tc>
          <w:tcPr>
            <w:tcW w:w="4133"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Revenue from financial activities</w:t>
            </w:r>
          </w:p>
        </w:tc>
        <w:tc>
          <w:tcPr>
            <w:tcW w:w="1564"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4,342,997,330</w:t>
            </w:r>
          </w:p>
        </w:tc>
        <w:tc>
          <w:tcPr>
            <w:tcW w:w="1540"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5,609,748,901</w:t>
            </w:r>
          </w:p>
        </w:tc>
        <w:tc>
          <w:tcPr>
            <w:tcW w:w="1203"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129.2%</w:t>
            </w:r>
          </w:p>
        </w:tc>
      </w:tr>
      <w:tr w:rsidR="00C9181E">
        <w:tc>
          <w:tcPr>
            <w:tcW w:w="577"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7</w:t>
            </w:r>
          </w:p>
        </w:tc>
        <w:tc>
          <w:tcPr>
            <w:tcW w:w="4133"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Financial expenses:</w:t>
            </w:r>
          </w:p>
        </w:tc>
        <w:tc>
          <w:tcPr>
            <w:tcW w:w="1564"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3,283,490,720</w:t>
            </w:r>
          </w:p>
        </w:tc>
        <w:tc>
          <w:tcPr>
            <w:tcW w:w="1540"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3,474,591,674</w:t>
            </w:r>
          </w:p>
        </w:tc>
        <w:tc>
          <w:tcPr>
            <w:tcW w:w="1203"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105.8%</w:t>
            </w:r>
          </w:p>
        </w:tc>
      </w:tr>
      <w:tr w:rsidR="00C9181E">
        <w:tc>
          <w:tcPr>
            <w:tcW w:w="577"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8</w:t>
            </w:r>
          </w:p>
        </w:tc>
        <w:tc>
          <w:tcPr>
            <w:tcW w:w="4133"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Profit or loss in joint ventures</w:t>
            </w:r>
          </w:p>
        </w:tc>
        <w:tc>
          <w:tcPr>
            <w:tcW w:w="1564"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1,151,891,630</w:t>
            </w:r>
          </w:p>
        </w:tc>
        <w:tc>
          <w:tcPr>
            <w:tcW w:w="1540"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148,661,173</w:t>
            </w:r>
          </w:p>
        </w:tc>
        <w:tc>
          <w:tcPr>
            <w:tcW w:w="1203"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12.9%</w:t>
            </w:r>
          </w:p>
        </w:tc>
      </w:tr>
      <w:tr w:rsidR="00C9181E">
        <w:tc>
          <w:tcPr>
            <w:tcW w:w="577"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9</w:t>
            </w:r>
          </w:p>
        </w:tc>
        <w:tc>
          <w:tcPr>
            <w:tcW w:w="4133"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Selling expense</w:t>
            </w:r>
          </w:p>
        </w:tc>
        <w:tc>
          <w:tcPr>
            <w:tcW w:w="1564"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11,877,062,483</w:t>
            </w:r>
          </w:p>
        </w:tc>
        <w:tc>
          <w:tcPr>
            <w:tcW w:w="1540"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12,370,887,138</w:t>
            </w:r>
          </w:p>
        </w:tc>
        <w:tc>
          <w:tcPr>
            <w:tcW w:w="1203"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104.2%</w:t>
            </w:r>
          </w:p>
        </w:tc>
      </w:tr>
      <w:tr w:rsidR="00C9181E">
        <w:tc>
          <w:tcPr>
            <w:tcW w:w="577"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10</w:t>
            </w:r>
          </w:p>
        </w:tc>
        <w:tc>
          <w:tcPr>
            <w:tcW w:w="4133"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General and administrative expense</w:t>
            </w:r>
          </w:p>
        </w:tc>
        <w:tc>
          <w:tcPr>
            <w:tcW w:w="1564"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22,686,702,883</w:t>
            </w:r>
          </w:p>
        </w:tc>
        <w:tc>
          <w:tcPr>
            <w:tcW w:w="1540"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26,025,040,571</w:t>
            </w:r>
          </w:p>
        </w:tc>
        <w:tc>
          <w:tcPr>
            <w:tcW w:w="1203"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114.7%</w:t>
            </w:r>
          </w:p>
        </w:tc>
      </w:tr>
      <w:tr w:rsidR="00C9181E">
        <w:tc>
          <w:tcPr>
            <w:tcW w:w="577"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11</w:t>
            </w:r>
          </w:p>
        </w:tc>
        <w:tc>
          <w:tcPr>
            <w:tcW w:w="4133"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Net profit from business activities</w:t>
            </w:r>
          </w:p>
        </w:tc>
        <w:tc>
          <w:tcPr>
            <w:tcW w:w="1564"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11,083,897,913</w:t>
            </w:r>
          </w:p>
        </w:tc>
        <w:tc>
          <w:tcPr>
            <w:tcW w:w="1540"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7,016,921,523</w:t>
            </w:r>
          </w:p>
        </w:tc>
        <w:tc>
          <w:tcPr>
            <w:tcW w:w="1203"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63.3%</w:t>
            </w:r>
          </w:p>
        </w:tc>
      </w:tr>
      <w:tr w:rsidR="00C9181E">
        <w:tc>
          <w:tcPr>
            <w:tcW w:w="577"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12</w:t>
            </w:r>
          </w:p>
        </w:tc>
        <w:tc>
          <w:tcPr>
            <w:tcW w:w="4133"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Other incomes:</w:t>
            </w:r>
          </w:p>
        </w:tc>
        <w:tc>
          <w:tcPr>
            <w:tcW w:w="1564"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468,763,235</w:t>
            </w:r>
          </w:p>
        </w:tc>
        <w:tc>
          <w:tcPr>
            <w:tcW w:w="1540"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2,234,067,392</w:t>
            </w:r>
          </w:p>
        </w:tc>
        <w:tc>
          <w:tcPr>
            <w:tcW w:w="1203"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476.6%</w:t>
            </w:r>
          </w:p>
        </w:tc>
      </w:tr>
      <w:tr w:rsidR="00C9181E">
        <w:tc>
          <w:tcPr>
            <w:tcW w:w="577"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13</w:t>
            </w:r>
          </w:p>
        </w:tc>
        <w:tc>
          <w:tcPr>
            <w:tcW w:w="4133"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Other expenses:</w:t>
            </w:r>
          </w:p>
        </w:tc>
        <w:tc>
          <w:tcPr>
            <w:tcW w:w="1564"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222,454,868</w:t>
            </w:r>
          </w:p>
        </w:tc>
        <w:tc>
          <w:tcPr>
            <w:tcW w:w="1540"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685,505,597</w:t>
            </w:r>
          </w:p>
        </w:tc>
        <w:tc>
          <w:tcPr>
            <w:tcW w:w="1203"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308.2%</w:t>
            </w:r>
          </w:p>
        </w:tc>
      </w:tr>
      <w:tr w:rsidR="00C9181E">
        <w:tc>
          <w:tcPr>
            <w:tcW w:w="577"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14</w:t>
            </w:r>
          </w:p>
        </w:tc>
        <w:tc>
          <w:tcPr>
            <w:tcW w:w="4133"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Other profits</w:t>
            </w:r>
          </w:p>
        </w:tc>
        <w:tc>
          <w:tcPr>
            <w:tcW w:w="1564"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246,308,367</w:t>
            </w:r>
          </w:p>
        </w:tc>
        <w:tc>
          <w:tcPr>
            <w:tcW w:w="1540"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1,548,561,795</w:t>
            </w:r>
          </w:p>
        </w:tc>
        <w:tc>
          <w:tcPr>
            <w:tcW w:w="1203"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628.7%</w:t>
            </w:r>
          </w:p>
        </w:tc>
      </w:tr>
      <w:tr w:rsidR="00C9181E">
        <w:tc>
          <w:tcPr>
            <w:tcW w:w="577"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15</w:t>
            </w:r>
          </w:p>
        </w:tc>
        <w:tc>
          <w:tcPr>
            <w:tcW w:w="4133"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Total profit before tax</w:t>
            </w:r>
          </w:p>
        </w:tc>
        <w:tc>
          <w:tcPr>
            <w:tcW w:w="1564"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11,330,206,280</w:t>
            </w:r>
          </w:p>
        </w:tc>
        <w:tc>
          <w:tcPr>
            <w:tcW w:w="1540"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8,565,483,318</w:t>
            </w:r>
          </w:p>
        </w:tc>
        <w:tc>
          <w:tcPr>
            <w:tcW w:w="1203"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75.6%</w:t>
            </w:r>
          </w:p>
        </w:tc>
      </w:tr>
      <w:tr w:rsidR="00C9181E">
        <w:tc>
          <w:tcPr>
            <w:tcW w:w="577"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16</w:t>
            </w:r>
          </w:p>
        </w:tc>
        <w:tc>
          <w:tcPr>
            <w:tcW w:w="4133"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Current corporate income tax expense</w:t>
            </w:r>
          </w:p>
        </w:tc>
        <w:tc>
          <w:tcPr>
            <w:tcW w:w="1564"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2,456,916,173</w:t>
            </w:r>
          </w:p>
        </w:tc>
        <w:tc>
          <w:tcPr>
            <w:tcW w:w="1540"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1,602,383,313</w:t>
            </w:r>
          </w:p>
        </w:tc>
        <w:tc>
          <w:tcPr>
            <w:tcW w:w="1203"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65.2%</w:t>
            </w:r>
          </w:p>
        </w:tc>
      </w:tr>
      <w:tr w:rsidR="00C9181E">
        <w:tc>
          <w:tcPr>
            <w:tcW w:w="577"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17</w:t>
            </w:r>
          </w:p>
        </w:tc>
        <w:tc>
          <w:tcPr>
            <w:tcW w:w="4133"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Deferred corporate income tax expenses</w:t>
            </w:r>
          </w:p>
        </w:tc>
        <w:tc>
          <w:tcPr>
            <w:tcW w:w="1564"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(558,780,717)</w:t>
            </w:r>
          </w:p>
        </w:tc>
        <w:tc>
          <w:tcPr>
            <w:tcW w:w="1540"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(56,339,901)</w:t>
            </w:r>
          </w:p>
        </w:tc>
        <w:tc>
          <w:tcPr>
            <w:tcW w:w="1203"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10.1%</w:t>
            </w:r>
          </w:p>
        </w:tc>
      </w:tr>
      <w:tr w:rsidR="00C9181E">
        <w:tc>
          <w:tcPr>
            <w:tcW w:w="577"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lastRenderedPageBreak/>
              <w:t>18</w:t>
            </w:r>
          </w:p>
        </w:tc>
        <w:tc>
          <w:tcPr>
            <w:tcW w:w="4133"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Profit after tax</w:t>
            </w:r>
          </w:p>
        </w:tc>
        <w:tc>
          <w:tcPr>
            <w:tcW w:w="1564"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9,432,070,824</w:t>
            </w:r>
          </w:p>
        </w:tc>
        <w:tc>
          <w:tcPr>
            <w:tcW w:w="1540"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7,019,439,906</w:t>
            </w:r>
          </w:p>
        </w:tc>
        <w:tc>
          <w:tcPr>
            <w:tcW w:w="1203"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74.4%</w:t>
            </w:r>
          </w:p>
        </w:tc>
      </w:tr>
      <w:tr w:rsidR="00C9181E">
        <w:tc>
          <w:tcPr>
            <w:tcW w:w="577"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19</w:t>
            </w:r>
          </w:p>
        </w:tc>
        <w:tc>
          <w:tcPr>
            <w:tcW w:w="4133"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Basic earnings per share:</w:t>
            </w:r>
          </w:p>
        </w:tc>
        <w:tc>
          <w:tcPr>
            <w:tcW w:w="1564"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1,644</w:t>
            </w:r>
          </w:p>
        </w:tc>
        <w:tc>
          <w:tcPr>
            <w:tcW w:w="1540"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1,224</w:t>
            </w:r>
          </w:p>
        </w:tc>
        <w:tc>
          <w:tcPr>
            <w:tcW w:w="1203"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74.4%</w:t>
            </w:r>
          </w:p>
        </w:tc>
      </w:tr>
    </w:tbl>
    <w:p w:rsidR="00C9181E" w:rsidRDefault="00286A0B">
      <w:pPr>
        <w:numPr>
          <w:ilvl w:val="0"/>
          <w:numId w:val="3"/>
        </w:num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Pr>
          <w:rFonts w:ascii="Arial" w:hAnsi="Arial"/>
          <w:color w:val="010000"/>
          <w:sz w:val="20"/>
        </w:rPr>
        <w:t>Approve the profit distribution in 2023.</w:t>
      </w:r>
    </w:p>
    <w:tbl>
      <w:tblPr>
        <w:tblStyle w:val="a0"/>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75"/>
        <w:gridCol w:w="685"/>
        <w:gridCol w:w="2857"/>
      </w:tblGrid>
      <w:tr w:rsidR="00C9181E">
        <w:tc>
          <w:tcPr>
            <w:tcW w:w="5475"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Target</w:t>
            </w:r>
          </w:p>
        </w:tc>
        <w:tc>
          <w:tcPr>
            <w:tcW w:w="685"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Unit</w:t>
            </w:r>
          </w:p>
        </w:tc>
        <w:tc>
          <w:tcPr>
            <w:tcW w:w="2857"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Amount</w:t>
            </w:r>
          </w:p>
        </w:tc>
      </w:tr>
      <w:tr w:rsidR="00C9181E">
        <w:tc>
          <w:tcPr>
            <w:tcW w:w="5475"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Total consolidated profit after tax in 2023</w:t>
            </w:r>
          </w:p>
        </w:tc>
        <w:tc>
          <w:tcPr>
            <w:tcW w:w="685"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VND</w:t>
            </w:r>
          </w:p>
        </w:tc>
        <w:tc>
          <w:tcPr>
            <w:tcW w:w="2857"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7,019,439,906</w:t>
            </w:r>
          </w:p>
        </w:tc>
      </w:tr>
      <w:tr w:rsidR="00C9181E">
        <w:tc>
          <w:tcPr>
            <w:tcW w:w="5475"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Dividend distribution - 10% of charter capital</w:t>
            </w:r>
          </w:p>
        </w:tc>
        <w:tc>
          <w:tcPr>
            <w:tcW w:w="685"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VND</w:t>
            </w:r>
          </w:p>
        </w:tc>
        <w:tc>
          <w:tcPr>
            <w:tcW w:w="2857"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5,736,709,000</w:t>
            </w:r>
          </w:p>
        </w:tc>
      </w:tr>
    </w:tbl>
    <w:p w:rsidR="00C9181E" w:rsidRDefault="00286A0B">
      <w:pPr>
        <w:keepNext/>
        <w:numPr>
          <w:ilvl w:val="0"/>
          <w:numId w:val="3"/>
        </w:num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Pr>
          <w:rFonts w:ascii="Arial" w:hAnsi="Arial"/>
          <w:color w:val="010000"/>
          <w:sz w:val="20"/>
        </w:rPr>
        <w:t>Approve profit plan of 2024.</w:t>
      </w:r>
    </w:p>
    <w:tbl>
      <w:tblPr>
        <w:tblStyle w:val="a1"/>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7"/>
        <w:gridCol w:w="754"/>
        <w:gridCol w:w="1852"/>
        <w:gridCol w:w="1904"/>
      </w:tblGrid>
      <w:tr w:rsidR="00C9181E">
        <w:tc>
          <w:tcPr>
            <w:tcW w:w="4507"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Target</w:t>
            </w:r>
          </w:p>
        </w:tc>
        <w:tc>
          <w:tcPr>
            <w:tcW w:w="754"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Unit</w:t>
            </w:r>
          </w:p>
        </w:tc>
        <w:tc>
          <w:tcPr>
            <w:tcW w:w="1852"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 xml:space="preserve">Results 2023 </w:t>
            </w:r>
          </w:p>
        </w:tc>
        <w:tc>
          <w:tcPr>
            <w:tcW w:w="1904"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 xml:space="preserve">Plan 2024 </w:t>
            </w:r>
          </w:p>
        </w:tc>
      </w:tr>
      <w:tr w:rsidR="00C9181E">
        <w:tc>
          <w:tcPr>
            <w:tcW w:w="4507"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CONSOLIDATED PROFIT BEFORE TAX</w:t>
            </w:r>
          </w:p>
        </w:tc>
        <w:tc>
          <w:tcPr>
            <w:tcW w:w="754"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VND</w:t>
            </w:r>
          </w:p>
        </w:tc>
        <w:tc>
          <w:tcPr>
            <w:tcW w:w="1852"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8,565,483,318</w:t>
            </w:r>
          </w:p>
        </w:tc>
        <w:tc>
          <w:tcPr>
            <w:tcW w:w="1904"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8,750,000,000</w:t>
            </w:r>
          </w:p>
        </w:tc>
      </w:tr>
      <w:tr w:rsidR="00C9181E">
        <w:tc>
          <w:tcPr>
            <w:tcW w:w="4507"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CONSOLIDATED PROFIT AFTER TAX</w:t>
            </w:r>
          </w:p>
        </w:tc>
        <w:tc>
          <w:tcPr>
            <w:tcW w:w="754"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VND</w:t>
            </w:r>
          </w:p>
        </w:tc>
        <w:tc>
          <w:tcPr>
            <w:tcW w:w="1852"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7,019,439,906</w:t>
            </w:r>
          </w:p>
        </w:tc>
        <w:tc>
          <w:tcPr>
            <w:tcW w:w="1904"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7,000,000,000</w:t>
            </w:r>
          </w:p>
        </w:tc>
      </w:tr>
      <w:tr w:rsidR="00C9181E">
        <w:tc>
          <w:tcPr>
            <w:tcW w:w="4507"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DIVIDEND PAYOUT RATE</w:t>
            </w:r>
          </w:p>
        </w:tc>
        <w:tc>
          <w:tcPr>
            <w:tcW w:w="754"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w:t>
            </w:r>
          </w:p>
        </w:tc>
        <w:tc>
          <w:tcPr>
            <w:tcW w:w="1852"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10%</w:t>
            </w:r>
          </w:p>
        </w:tc>
        <w:tc>
          <w:tcPr>
            <w:tcW w:w="1904" w:type="dxa"/>
            <w:shd w:val="clear" w:color="auto" w:fill="auto"/>
            <w:tcMar>
              <w:top w:w="0" w:type="dxa"/>
              <w:bottom w:w="0" w:type="dxa"/>
            </w:tcMar>
            <w:vAlign w:val="center"/>
          </w:tcPr>
          <w:p w:rsidR="00C9181E" w:rsidRDefault="00286A0B">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10%</w:t>
            </w:r>
          </w:p>
        </w:tc>
      </w:tr>
    </w:tbl>
    <w:p w:rsidR="00C9181E" w:rsidRDefault="00286A0B">
      <w:pPr>
        <w:keepNext/>
        <w:numPr>
          <w:ilvl w:val="0"/>
          <w:numId w:val="3"/>
        </w:numPr>
        <w:pBdr>
          <w:top w:val="nil"/>
          <w:left w:val="nil"/>
          <w:bottom w:val="nil"/>
          <w:right w:val="nil"/>
          <w:between w:val="nil"/>
        </w:pBdr>
        <w:tabs>
          <w:tab w:val="left" w:pos="720"/>
        </w:tabs>
        <w:spacing w:after="120" w:line="360" w:lineRule="auto"/>
        <w:rPr>
          <w:rFonts w:ascii="Arial" w:eastAsia="Arial" w:hAnsi="Arial" w:cs="Arial"/>
          <w:color w:val="010000"/>
          <w:sz w:val="20"/>
          <w:szCs w:val="20"/>
        </w:rPr>
      </w:pPr>
      <w:r>
        <w:rPr>
          <w:rFonts w:ascii="Arial" w:hAnsi="Arial"/>
          <w:color w:val="010000"/>
          <w:sz w:val="20"/>
        </w:rPr>
        <w:t>Approve Dividend Payment Plan 2024:</w:t>
      </w:r>
    </w:p>
    <w:p w:rsidR="00C9181E" w:rsidRDefault="00286A0B" w:rsidP="00286A0B">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 xml:space="preserve">The Board of Directors is authorized to decide on the dividend payment </w:t>
      </w:r>
      <w:bookmarkStart w:id="0" w:name="_GoBack"/>
      <w:r>
        <w:rPr>
          <w:rFonts w:ascii="Arial" w:hAnsi="Arial"/>
          <w:color w:val="010000"/>
          <w:sz w:val="20"/>
        </w:rPr>
        <w:t>2024 and timing based on actual production and business situation.</w:t>
      </w:r>
      <w:r>
        <w:rPr>
          <w:rFonts w:ascii="Arial" w:hAnsi="Arial"/>
          <w:color w:val="010000"/>
          <w:sz w:val="20"/>
        </w:rPr>
        <w:t xml:space="preserve"> </w:t>
      </w:r>
      <w:r>
        <w:rPr>
          <w:rFonts w:ascii="Arial" w:hAnsi="Arial"/>
          <w:color w:val="010000"/>
          <w:sz w:val="20"/>
        </w:rPr>
        <w:t>The total dividend payment will be approved at the General Meeting of Shareholders 2025.</w:t>
      </w:r>
    </w:p>
    <w:p w:rsidR="00C9181E" w:rsidRDefault="00286A0B" w:rsidP="00286A0B">
      <w:pPr>
        <w:keepNext/>
        <w:numPr>
          <w:ilvl w:val="0"/>
          <w:numId w:val="3"/>
        </w:num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Pr>
          <w:rFonts w:ascii="Arial" w:hAnsi="Arial"/>
          <w:color w:val="010000"/>
          <w:sz w:val="20"/>
        </w:rPr>
        <w:t>Approve to supplement capital for the subsidiaries.</w:t>
      </w:r>
    </w:p>
    <w:p w:rsidR="00C9181E" w:rsidRDefault="00286A0B" w:rsidP="00286A0B">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The General Meeting of Shareholders agrees to authorize the Board of Directors to be responsible for increasing add</w:t>
      </w:r>
      <w:r>
        <w:rPr>
          <w:rFonts w:ascii="Arial" w:hAnsi="Arial"/>
          <w:color w:val="010000"/>
          <w:sz w:val="20"/>
        </w:rPr>
        <w:t>itional capital for subsidiaries when there is a need for capital to ensure investment efficiency without seeking written opinions from shareholders, based on the company's charter capital regulations.</w:t>
      </w:r>
    </w:p>
    <w:p w:rsidR="00C9181E" w:rsidRDefault="00286A0B" w:rsidP="00286A0B">
      <w:pPr>
        <w:keepNext/>
        <w:numPr>
          <w:ilvl w:val="0"/>
          <w:numId w:val="3"/>
        </w:num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Supplement operational functions.</w:t>
      </w:r>
    </w:p>
    <w:p w:rsidR="00C9181E" w:rsidRDefault="00286A0B" w:rsidP="00286A0B">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To promptly add busi</w:t>
      </w:r>
      <w:r>
        <w:rPr>
          <w:rFonts w:ascii="Arial" w:hAnsi="Arial"/>
          <w:color w:val="010000"/>
          <w:sz w:val="20"/>
        </w:rPr>
        <w:t>ness functions for production and business activities in 2024.</w:t>
      </w:r>
      <w:r>
        <w:rPr>
          <w:rFonts w:ascii="Arial" w:hAnsi="Arial"/>
          <w:color w:val="010000"/>
          <w:sz w:val="20"/>
        </w:rPr>
        <w:t xml:space="preserve"> </w:t>
      </w:r>
      <w:r>
        <w:rPr>
          <w:rFonts w:ascii="Arial" w:hAnsi="Arial"/>
          <w:color w:val="010000"/>
          <w:sz w:val="20"/>
        </w:rPr>
        <w:t>The General Meeting of Shareholders assigns the Board of Directors to be responsible for choosing additional business registration codes when needed, in accordance with the company's production</w:t>
      </w:r>
      <w:r>
        <w:rPr>
          <w:rFonts w:ascii="Arial" w:hAnsi="Arial"/>
          <w:color w:val="010000"/>
          <w:sz w:val="20"/>
        </w:rPr>
        <w:t xml:space="preserve"> and business activities, without seeking written opinions from shareholders.</w:t>
      </w:r>
    </w:p>
    <w:p w:rsidR="00C9181E" w:rsidRDefault="00286A0B" w:rsidP="00286A0B">
      <w:pPr>
        <w:keepNext/>
        <w:numPr>
          <w:ilvl w:val="0"/>
          <w:numId w:val="3"/>
        </w:num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Pr>
          <w:rFonts w:ascii="Arial" w:hAnsi="Arial"/>
          <w:color w:val="010000"/>
          <w:sz w:val="20"/>
        </w:rPr>
        <w:t>Other issues:</w:t>
      </w:r>
    </w:p>
    <w:p w:rsidR="00C9181E" w:rsidRDefault="00286A0B" w:rsidP="00286A0B">
      <w:pPr>
        <w:numPr>
          <w:ilvl w:val="0"/>
          <w:numId w:val="2"/>
        </w:num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Pr>
          <w:rFonts w:ascii="Arial" w:hAnsi="Arial"/>
          <w:color w:val="010000"/>
          <w:sz w:val="20"/>
        </w:rPr>
        <w:t>The Board of Directors is assigned to select the audit company for the Financial S 2024.</w:t>
      </w:r>
    </w:p>
    <w:p w:rsidR="00C9181E" w:rsidRDefault="00286A0B" w:rsidP="00286A0B">
      <w:pPr>
        <w:numPr>
          <w:ilvl w:val="0"/>
          <w:numId w:val="2"/>
        </w:num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Pr>
          <w:rFonts w:ascii="Arial" w:hAnsi="Arial"/>
          <w:color w:val="010000"/>
          <w:sz w:val="20"/>
        </w:rPr>
        <w:t>The total remuneration for members of the Board of Directors in 2024 corresponds to 5% of the company's profit after tax and the Chair of the Board is assigned to allocate it to members according to actual participation.</w:t>
      </w:r>
    </w:p>
    <w:p w:rsidR="00C9181E" w:rsidRDefault="00286A0B" w:rsidP="00286A0B">
      <w:pPr>
        <w:numPr>
          <w:ilvl w:val="0"/>
          <w:numId w:val="2"/>
        </w:num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Pr>
          <w:rFonts w:ascii="Arial" w:hAnsi="Arial"/>
          <w:color w:val="010000"/>
          <w:sz w:val="20"/>
        </w:rPr>
        <w:t>The total remuneration for the Supe</w:t>
      </w:r>
      <w:r>
        <w:rPr>
          <w:rFonts w:ascii="Arial" w:hAnsi="Arial"/>
          <w:color w:val="010000"/>
          <w:sz w:val="20"/>
        </w:rPr>
        <w:t>rvisory Board in 2024 corresponds to 1% of the profit after tax and the Chief of the Supervisory Board is assigned to allocate it to members according to actual participation.</w:t>
      </w:r>
    </w:p>
    <w:p w:rsidR="00C9181E" w:rsidRDefault="00286A0B" w:rsidP="00286A0B">
      <w:pPr>
        <w:numPr>
          <w:ilvl w:val="0"/>
          <w:numId w:val="2"/>
        </w:num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Pr>
          <w:rFonts w:ascii="Arial" w:hAnsi="Arial"/>
          <w:color w:val="010000"/>
          <w:sz w:val="20"/>
        </w:rPr>
        <w:lastRenderedPageBreak/>
        <w:t>Agree on allocating a bonus to the Company's Executive Board an amount correspon</w:t>
      </w:r>
      <w:r>
        <w:rPr>
          <w:rFonts w:ascii="Arial" w:hAnsi="Arial"/>
          <w:color w:val="010000"/>
          <w:sz w:val="20"/>
        </w:rPr>
        <w:t>ding to 5% of the company's profit after tax in 2024 based on the completion of the 2024 plan assigned by the General Meeting of Shareholders.</w:t>
      </w:r>
    </w:p>
    <w:p w:rsidR="00C9181E" w:rsidRDefault="00286A0B" w:rsidP="00286A0B">
      <w:pPr>
        <w:keepNext/>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Terms of enforcement.</w:t>
      </w:r>
    </w:p>
    <w:p w:rsidR="00C9181E" w:rsidRDefault="00286A0B" w:rsidP="00286A0B">
      <w:pPr>
        <w:numPr>
          <w:ilvl w:val="0"/>
          <w:numId w:val="4"/>
        </w:num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Pr>
          <w:rFonts w:ascii="Arial" w:hAnsi="Arial"/>
          <w:color w:val="010000"/>
          <w:sz w:val="20"/>
        </w:rPr>
        <w:t>This General Mandate takes effect from April 26, 2024.</w:t>
      </w:r>
    </w:p>
    <w:p w:rsidR="00C9181E" w:rsidRDefault="00286A0B" w:rsidP="00286A0B">
      <w:pPr>
        <w:numPr>
          <w:ilvl w:val="0"/>
          <w:numId w:val="4"/>
        </w:numPr>
        <w:pBdr>
          <w:top w:val="nil"/>
          <w:left w:val="nil"/>
          <w:bottom w:val="nil"/>
          <w:right w:val="nil"/>
          <w:between w:val="nil"/>
        </w:pBdr>
        <w:tabs>
          <w:tab w:val="left" w:pos="720"/>
          <w:tab w:val="left" w:pos="1654"/>
        </w:tabs>
        <w:spacing w:after="120" w:line="360" w:lineRule="auto"/>
        <w:jc w:val="both"/>
        <w:rPr>
          <w:rFonts w:ascii="Arial" w:eastAsia="Arial" w:hAnsi="Arial" w:cs="Arial"/>
          <w:color w:val="010000"/>
          <w:sz w:val="20"/>
          <w:szCs w:val="20"/>
        </w:rPr>
      </w:pPr>
      <w:r>
        <w:rPr>
          <w:rFonts w:ascii="Arial" w:hAnsi="Arial"/>
          <w:color w:val="010000"/>
          <w:sz w:val="20"/>
        </w:rPr>
        <w:t>Members of the Board of Directors, Supervisory Board, and Executive Board are responsible for directing the implementation of this General Mandate in accordance with their functions, duties, powers in accordance with the provisions of law and the Company's</w:t>
      </w:r>
      <w:r>
        <w:rPr>
          <w:rFonts w:ascii="Arial" w:hAnsi="Arial"/>
          <w:color w:val="010000"/>
          <w:sz w:val="20"/>
        </w:rPr>
        <w:t xml:space="preserve"> Charter, and the Board of Directors is responsible for reporting the implementation results to the General Meeting of Shareholders at the Annual General Meeting 2025.</w:t>
      </w:r>
      <w:bookmarkEnd w:id="0"/>
    </w:p>
    <w:sectPr w:rsidR="00C9181E">
      <w:pgSz w:w="11907" w:h="16839"/>
      <w:pgMar w:top="1440" w:right="1440" w:bottom="1440" w:left="1440" w:header="0" w:footer="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720A5"/>
    <w:multiLevelType w:val="multilevel"/>
    <w:tmpl w:val="2572E392"/>
    <w:lvl w:ilvl="0">
      <w:start w:val="1"/>
      <w:numFmt w:val="decimal"/>
      <w:lvlText w:val="%1."/>
      <w:lvlJc w:val="left"/>
      <w:pPr>
        <w:ind w:left="720" w:hanging="360"/>
      </w:pPr>
      <w:rPr>
        <w:rFonts w:ascii="Arial" w:eastAsia="Arial" w:hAnsi="Arial" w:cs="Arial"/>
        <w:b w:val="0"/>
        <w:i w:val="0"/>
        <w:color w:val="43413E"/>
        <w:sz w:val="20"/>
        <w:szCs w:val="20"/>
        <w:u w:val="none"/>
      </w:rPr>
    </w:lvl>
    <w:lvl w:ilvl="1">
      <w:start w:val="1"/>
      <w:numFmt w:val="lowerLetter"/>
      <w:lvlText w:val="%2."/>
      <w:lvlJc w:val="left"/>
      <w:pPr>
        <w:ind w:left="1440" w:hanging="360"/>
      </w:pPr>
      <w:rPr>
        <w:rFonts w:ascii="Arial" w:eastAsia="Arial" w:hAnsi="Arial" w:cs="Arial"/>
        <w:b w:val="0"/>
        <w:i w:val="0"/>
        <w:sz w:val="20"/>
        <w:szCs w:val="20"/>
      </w:rPr>
    </w:lvl>
    <w:lvl w:ilvl="2">
      <w:start w:val="1"/>
      <w:numFmt w:val="lowerRoman"/>
      <w:lvlText w:val="%3."/>
      <w:lvlJc w:val="right"/>
      <w:pPr>
        <w:ind w:left="2160" w:hanging="180"/>
      </w:pPr>
      <w:rPr>
        <w:rFonts w:ascii="Arial" w:eastAsia="Arial" w:hAnsi="Arial" w:cs="Arial"/>
        <w:b w:val="0"/>
        <w:i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097843"/>
    <w:multiLevelType w:val="multilevel"/>
    <w:tmpl w:val="EBDCD932"/>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AE4730D"/>
    <w:multiLevelType w:val="multilevel"/>
    <w:tmpl w:val="3326AD9E"/>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7AE501BD"/>
    <w:multiLevelType w:val="multilevel"/>
    <w:tmpl w:val="BA0CE63E"/>
    <w:lvl w:ilvl="0">
      <w:start w:val="2"/>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81E"/>
    <w:rsid w:val="00286A0B"/>
    <w:rsid w:val="00C91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6E9CB1-EB13-467C-BD35-BB05BD884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color w:val="43413E"/>
      <w:sz w:val="30"/>
      <w:szCs w:val="30"/>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6"/>
      <w:szCs w:val="26"/>
      <w:u w:val="singl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color w:val="FF0000"/>
      <w:sz w:val="17"/>
      <w:szCs w:val="17"/>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val="0"/>
      <w:iCs w:val="0"/>
      <w:smallCaps w:val="0"/>
      <w:strike w:val="0"/>
      <w:color w:val="FF0000"/>
      <w:sz w:val="10"/>
      <w:szCs w:val="10"/>
      <w:u w:val="none"/>
      <w:shd w:val="clear" w:color="auto" w:fill="auto"/>
    </w:rPr>
  </w:style>
  <w:style w:type="character" w:customStyle="1" w:styleId="Vnbnnidung5">
    <w:name w:val="Văn bản nội dung (5)_"/>
    <w:basedOn w:val="DefaultParagraphFont"/>
    <w:link w:val="Vnbnnidung50"/>
    <w:rPr>
      <w:rFonts w:ascii="Times New Roman" w:eastAsia="Times New Roman" w:hAnsi="Times New Roman" w:cs="Times New Roman"/>
      <w:b w:val="0"/>
      <w:bCs w:val="0"/>
      <w:i w:val="0"/>
      <w:iCs w:val="0"/>
      <w:smallCaps w:val="0"/>
      <w:strike w:val="0"/>
      <w:color w:val="D5515B"/>
      <w:sz w:val="20"/>
      <w:szCs w:val="20"/>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iCs/>
      <w:smallCaps w:val="0"/>
      <w:strike w:val="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bCs/>
      <w:i/>
      <w:iCs/>
      <w:smallCaps w:val="0"/>
      <w:strike w:val="0"/>
      <w:sz w:val="8"/>
      <w:szCs w:val="8"/>
      <w:u w:val="none"/>
      <w:shd w:val="clear" w:color="auto" w:fill="auto"/>
    </w:rPr>
  </w:style>
  <w:style w:type="paragraph" w:customStyle="1" w:styleId="Vnbnnidung0">
    <w:name w:val="Văn bản nội dung"/>
    <w:basedOn w:val="Normal"/>
    <w:link w:val="Vnbnnidung"/>
    <w:pPr>
      <w:spacing w:line="259" w:lineRule="auto"/>
      <w:ind w:firstLine="20"/>
    </w:pPr>
    <w:rPr>
      <w:rFonts w:ascii="Times New Roman" w:eastAsia="Times New Roman" w:hAnsi="Times New Roman" w:cs="Times New Roman"/>
      <w:sz w:val="26"/>
      <w:szCs w:val="26"/>
    </w:rPr>
  </w:style>
  <w:style w:type="paragraph" w:customStyle="1" w:styleId="Tiu10">
    <w:name w:val="Tiêu đề #1"/>
    <w:basedOn w:val="Normal"/>
    <w:link w:val="Tiu1"/>
    <w:pPr>
      <w:spacing w:line="324" w:lineRule="auto"/>
      <w:jc w:val="center"/>
      <w:outlineLvl w:val="0"/>
    </w:pPr>
    <w:rPr>
      <w:rFonts w:ascii="Times New Roman" w:eastAsia="Times New Roman" w:hAnsi="Times New Roman" w:cs="Times New Roman"/>
      <w:b/>
      <w:bCs/>
      <w:color w:val="43413E"/>
      <w:sz w:val="30"/>
      <w:szCs w:val="30"/>
    </w:rPr>
  </w:style>
  <w:style w:type="paragraph" w:customStyle="1" w:styleId="Tiu20">
    <w:name w:val="Tiêu đề #2"/>
    <w:basedOn w:val="Normal"/>
    <w:link w:val="Tiu2"/>
    <w:pPr>
      <w:spacing w:line="257" w:lineRule="auto"/>
      <w:ind w:firstLine="800"/>
      <w:outlineLvl w:val="1"/>
    </w:pPr>
    <w:rPr>
      <w:rFonts w:ascii="Times New Roman" w:eastAsia="Times New Roman" w:hAnsi="Times New Roman" w:cs="Times New Roman"/>
      <w:b/>
      <w:bCs/>
      <w:sz w:val="26"/>
      <w:szCs w:val="26"/>
      <w:u w:val="single"/>
    </w:rPr>
  </w:style>
  <w:style w:type="paragraph" w:customStyle="1" w:styleId="Khc0">
    <w:name w:val="Khác"/>
    <w:basedOn w:val="Normal"/>
    <w:link w:val="Khc"/>
    <w:pPr>
      <w:spacing w:line="259" w:lineRule="auto"/>
      <w:ind w:firstLine="20"/>
    </w:pPr>
    <w:rPr>
      <w:rFonts w:ascii="Times New Roman" w:eastAsia="Times New Roman" w:hAnsi="Times New Roman" w:cs="Times New Roman"/>
      <w:sz w:val="26"/>
      <w:szCs w:val="26"/>
    </w:rPr>
  </w:style>
  <w:style w:type="paragraph" w:customStyle="1" w:styleId="Vnbnnidung30">
    <w:name w:val="Văn bản nội dung (3)"/>
    <w:basedOn w:val="Normal"/>
    <w:link w:val="Vnbnnidung3"/>
    <w:rPr>
      <w:rFonts w:ascii="Times New Roman" w:eastAsia="Times New Roman" w:hAnsi="Times New Roman" w:cs="Times New Roman"/>
      <w:color w:val="FF0000"/>
      <w:sz w:val="17"/>
      <w:szCs w:val="17"/>
    </w:rPr>
  </w:style>
  <w:style w:type="paragraph" w:customStyle="1" w:styleId="Vnbnnidung40">
    <w:name w:val="Văn bản nội dung (4)"/>
    <w:basedOn w:val="Normal"/>
    <w:link w:val="Vnbnnidung4"/>
    <w:rPr>
      <w:rFonts w:ascii="Times New Roman" w:eastAsia="Times New Roman" w:hAnsi="Times New Roman" w:cs="Times New Roman"/>
      <w:color w:val="FF0000"/>
      <w:sz w:val="10"/>
      <w:szCs w:val="10"/>
    </w:rPr>
  </w:style>
  <w:style w:type="paragraph" w:customStyle="1" w:styleId="Vnbnnidung50">
    <w:name w:val="Văn bản nội dung (5)"/>
    <w:basedOn w:val="Normal"/>
    <w:link w:val="Vnbnnidung5"/>
    <w:pPr>
      <w:spacing w:line="331" w:lineRule="auto"/>
      <w:jc w:val="center"/>
    </w:pPr>
    <w:rPr>
      <w:rFonts w:ascii="Times New Roman" w:eastAsia="Times New Roman" w:hAnsi="Times New Roman" w:cs="Times New Roman"/>
      <w:color w:val="D5515B"/>
      <w:sz w:val="20"/>
      <w:szCs w:val="20"/>
    </w:rPr>
  </w:style>
  <w:style w:type="paragraph" w:customStyle="1" w:styleId="Chthchbng0">
    <w:name w:val="Chú thích bảng"/>
    <w:basedOn w:val="Normal"/>
    <w:link w:val="Chthchbng"/>
    <w:rPr>
      <w:rFonts w:ascii="Times New Roman" w:eastAsia="Times New Roman" w:hAnsi="Times New Roman" w:cs="Times New Roman"/>
      <w:i/>
      <w:iCs/>
    </w:rPr>
  </w:style>
  <w:style w:type="paragraph" w:customStyle="1" w:styleId="Vnbnnidung20">
    <w:name w:val="Văn bản nội dung (2)"/>
    <w:basedOn w:val="Normal"/>
    <w:link w:val="Vnbnnidung2"/>
    <w:pPr>
      <w:ind w:firstLine="630"/>
    </w:pPr>
    <w:rPr>
      <w:rFonts w:ascii="Times New Roman" w:eastAsia="Times New Roman" w:hAnsi="Times New Roman" w:cs="Times New Roman"/>
      <w:b/>
      <w:bCs/>
      <w:i/>
      <w:iCs/>
      <w:sz w:val="8"/>
      <w:szCs w:val="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pVyUKw2dCo2/KyeOmXt8baS59A==">CgMxLjA4AHIhMUo0VGpHNk5NaFhCc3ZaZjVSbUQyX1ZXT0VzMGN5LUpZ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3688</Characters>
  <Application>Microsoft Office Word</Application>
  <DocSecurity>0</DocSecurity>
  <Lines>30</Lines>
  <Paragraphs>8</Paragraphs>
  <ScaleCrop>false</ScaleCrop>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2</cp:revision>
  <dcterms:created xsi:type="dcterms:W3CDTF">2024-05-03T09:21:00Z</dcterms:created>
  <dcterms:modified xsi:type="dcterms:W3CDTF">2024-05-06T04:10:00Z</dcterms:modified>
</cp:coreProperties>
</file>